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color w:val="00000A"/>
          <w:sz w:val="18"/>
          <w:szCs w:val="18"/>
          <w:lang w:val="ru-RU" w:eastAsia="ru-RU"/>
        </w:rPr>
      </w:pPr>
      <w:r>
        <w:rPr>
          <w:color w:val="00000A"/>
          <w:sz w:val="18"/>
          <w:szCs w:val="18"/>
          <w:shd w:fill="auto" w:val="clear"/>
          <w:lang w:val="ru-RU" w:eastAsia="ru-RU"/>
        </w:rPr>
        <w:t>Приложение № 2</w:t>
      </w:r>
    </w:p>
    <w:p>
      <w:pPr>
        <w:pStyle w:val="Normal"/>
        <w:bidi w:val="0"/>
        <w:jc w:val="right"/>
        <w:rPr/>
      </w:pPr>
      <w:r>
        <w:rPr>
          <w:color w:val="00000A"/>
          <w:sz w:val="18"/>
          <w:szCs w:val="18"/>
          <w:lang w:val="ru-RU" w:eastAsia="ru-RU"/>
        </w:rPr>
        <w:t xml:space="preserve">к государственному контракту от «___»________2020 </w:t>
      </w:r>
    </w:p>
    <w:p>
      <w:pPr>
        <w:pStyle w:val="Normal"/>
        <w:bidi w:val="0"/>
        <w:jc w:val="right"/>
        <w:rPr>
          <w:sz w:val="26"/>
          <w:szCs w:val="26"/>
        </w:rPr>
      </w:pPr>
      <w:r>
        <w:rPr>
          <w:color w:val="00000A"/>
          <w:sz w:val="18"/>
          <w:szCs w:val="18"/>
          <w:shd w:fill="auto" w:val="clear"/>
          <w:lang w:val="ru-RU" w:eastAsia="ru-RU"/>
        </w:rPr>
        <w:t xml:space="preserve">№ </w:t>
      </w:r>
      <w:r>
        <w:rPr>
          <w:color w:val="00000A"/>
          <w:sz w:val="18"/>
          <w:szCs w:val="18"/>
          <w:shd w:fill="auto" w:val="clear"/>
          <w:lang w:val="ru-RU" w:eastAsia="ru-RU"/>
        </w:rPr>
        <w:t>__________________</w:t>
      </w:r>
      <w:bookmarkStart w:id="0" w:name="_Toc518896512"/>
    </w:p>
    <w:p>
      <w:pPr>
        <w:pStyle w:val="Normal"/>
        <w:bidi w:val="0"/>
        <w:jc w:val="center"/>
        <w:rPr>
          <w:b/>
          <w:b/>
          <w:szCs w:val="24"/>
        </w:rPr>
      </w:pPr>
      <w:r>
        <w:rPr>
          <w:b/>
          <w:sz w:val="20"/>
          <w:szCs w:val="20"/>
        </w:rPr>
        <w:t>Техническое задание</w:t>
      </w:r>
    </w:p>
    <w:p>
      <w:pPr>
        <w:pStyle w:val="Normal"/>
        <w:bidi w:val="0"/>
        <w:jc w:val="center"/>
        <w:rPr>
          <w:b/>
          <w:b/>
          <w:szCs w:val="24"/>
        </w:rPr>
      </w:pPr>
      <w:r>
        <w:rPr>
          <w:b/>
          <w:sz w:val="20"/>
          <w:szCs w:val="20"/>
        </w:rPr>
        <w:t xml:space="preserve">на поставку комплекса средств автоматизации для обеспечения эксплуатации и управления информационными ресурсами регионального сегмента Единой государственной информационной системы здравоохранения  (РС ЕГИСЗ) Республики Алтай </w:t>
      </w:r>
    </w:p>
    <w:p>
      <w:pPr>
        <w:pStyle w:val="Normal"/>
        <w:bidi w:val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"/>
        <w:numPr>
          <w:ilvl w:val="0"/>
          <w:numId w:val="1"/>
        </w:numPr>
        <w:bidi w:val="0"/>
        <w:spacing w:before="0" w:after="0"/>
        <w:rPr>
          <w:bCs/>
          <w:sz w:val="26"/>
          <w:szCs w:val="24"/>
          <w:lang w:eastAsia="en-US"/>
        </w:rPr>
      </w:pPr>
      <w:r>
        <w:rPr>
          <w:bCs/>
          <w:sz w:val="20"/>
          <w:szCs w:val="20"/>
          <w:lang w:eastAsia="en-US"/>
        </w:rPr>
        <w:t>Общие положения, цели, задачи</w:t>
      </w:r>
    </w:p>
    <w:p>
      <w:pPr>
        <w:pStyle w:val="Normal"/>
        <w:bidi w:val="0"/>
        <w:ind w:firstLine="1418"/>
        <w:jc w:val="both"/>
        <w:rPr>
          <w:sz w:val="26"/>
          <w:szCs w:val="26"/>
        </w:rPr>
      </w:pPr>
      <w:r>
        <w:rPr>
          <w:sz w:val="20"/>
          <w:szCs w:val="20"/>
        </w:rPr>
        <w:t>Комплекс средств автоматизации создается для обеспечения эксплуатации и управления информационными ресурсами регионального сегмента Единой государственной информационной системы здравоохранения (РС ЕГИСЗ) Республики Алтай.</w:t>
      </w:r>
    </w:p>
    <w:p>
      <w:pPr>
        <w:pStyle w:val="2"/>
        <w:numPr>
          <w:ilvl w:val="0"/>
          <w:numId w:val="1"/>
        </w:numPr>
        <w:bidi w:val="0"/>
        <w:spacing w:before="0" w:after="0"/>
        <w:rPr>
          <w:bCs/>
          <w:sz w:val="26"/>
          <w:szCs w:val="24"/>
          <w:lang w:eastAsia="en-US"/>
        </w:rPr>
      </w:pPr>
      <w:r>
        <w:rPr>
          <w:bCs/>
          <w:sz w:val="20"/>
          <w:szCs w:val="20"/>
          <w:lang w:eastAsia="en-US"/>
        </w:rPr>
        <w:t>Перечень документов, на основании которых создаётся КСА</w:t>
      </w:r>
    </w:p>
    <w:p>
      <w:pPr>
        <w:pStyle w:val="1"/>
        <w:numPr>
          <w:ilvl w:val="0"/>
          <w:numId w:val="2"/>
        </w:numPr>
        <w:shd w:val="clear" w:color="auto" w:fill="FFFFFF"/>
        <w:bidi w:val="0"/>
        <w:spacing w:lineRule="atLeast" w:line="242" w:before="0" w:after="200"/>
        <w:ind w:left="426" w:hanging="426"/>
        <w:jc w:val="left"/>
        <w:rPr>
          <w:rFonts w:ascii="Times New Roman" w:hAnsi="Times New Roman"/>
          <w:b w:val="false"/>
          <w:b w:val="false"/>
          <w:color w:val="333333"/>
          <w:sz w:val="26"/>
          <w:szCs w:val="26"/>
        </w:rPr>
      </w:pPr>
      <w:r>
        <w:rPr>
          <w:rFonts w:ascii="Liberation Serif" w:hAnsi="Liberation Serif"/>
          <w:b w:val="false"/>
          <w:sz w:val="20"/>
          <w:szCs w:val="20"/>
        </w:rPr>
        <w:t>Федеральный закон РФ от 21.11.2011 №323-ФЗ «</w:t>
      </w:r>
      <w:r>
        <w:rPr>
          <w:rFonts w:ascii="Liberation Serif" w:hAnsi="Liberation Serif"/>
          <w:b w:val="false"/>
          <w:color w:val="333333"/>
          <w:sz w:val="20"/>
          <w:szCs w:val="20"/>
        </w:rPr>
        <w:t>Об основах охраны здоровья граждан в Российской Федерации;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Федеральный закон РФ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Федеральный закон РФ от 27.07.2006 № 149-ФЗ «Об информации, информационных технологиях и о защите информации»;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Федеральный закон РФ от 27.07.2006 № 152-ФЗ «О персональных данных»;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Постановление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Приказ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>
      <w:p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>Приказ Федеральной службы по техническому и экспортному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>
      <w:pPr>
        <w:sectPr>
          <w:footerReference w:type="default" r:id="rId2"/>
          <w:type w:val="nextPage"/>
          <w:pgSz w:orient="landscape" w:w="16820" w:h="11906"/>
          <w:pgMar w:left="1134" w:right="1134" w:header="0" w:top="1134" w:footer="720" w:bottom="777" w:gutter="0"/>
          <w:pgNumType w:fmt="decimal"/>
          <w:formProt w:val="false"/>
          <w:textDirection w:val="lrTb"/>
          <w:docGrid w:type="default" w:linePitch="326" w:charSpace="0"/>
        </w:sectPr>
        <w:pStyle w:val="Style18"/>
        <w:numPr>
          <w:ilvl w:val="0"/>
          <w:numId w:val="3"/>
        </w:numPr>
        <w:rPr>
          <w:sz w:val="26"/>
          <w:szCs w:val="26"/>
        </w:rPr>
      </w:pPr>
      <w:r>
        <w:rPr>
          <w:sz w:val="20"/>
          <w:szCs w:val="20"/>
        </w:rPr>
        <w:t xml:space="preserve">Приказ Министерства здравоохранения Российской Федерации от 24.12.2018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b/>
          <w:b/>
          <w:bCs/>
          <w:szCs w:val="24"/>
        </w:rPr>
      </w:pPr>
      <w:r>
        <w:rPr>
          <w:b/>
          <w:sz w:val="20"/>
          <w:szCs w:val="20"/>
        </w:rPr>
        <w:t>Функциональные требования и технические характеристики поставляемого комплекса средств автоматизации.</w:t>
      </w:r>
    </w:p>
    <w:p>
      <w:pPr>
        <w:pStyle w:val="ListParagraph"/>
        <w:bidi w:val="0"/>
        <w:jc w:val="center"/>
        <w:rPr>
          <w:b/>
          <w:b/>
          <w:bCs/>
          <w:szCs w:val="24"/>
        </w:rPr>
      </w:pPr>
      <w:r>
        <w:rPr>
          <w:b/>
          <w:sz w:val="20"/>
          <w:szCs w:val="20"/>
        </w:rPr>
        <w:t>Наименование и количество поставляемого товара КСА</w:t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Таблица №1</w:t>
      </w:r>
    </w:p>
    <w:tbl>
      <w:tblPr>
        <w:tblpPr w:vertAnchor="text" w:horzAnchor="text" w:tblpXSpec="center" w:leftFromText="180" w:rightFromText="180" w:tblpY="1"/>
        <w:tblW w:w="10910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2"/>
        <w:gridCol w:w="5813"/>
        <w:gridCol w:w="1417"/>
        <w:gridCol w:w="1417"/>
      </w:tblGrid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640" w:hanging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Количество в комплекте</w:t>
            </w:r>
          </w:p>
        </w:tc>
      </w:tr>
      <w:tr>
        <w:trPr/>
        <w:tc>
          <w:tcPr>
            <w:tcW w:w="109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</w:rPr>
            </w:pPr>
            <w:r>
              <w:rPr>
                <w:sz w:val="20"/>
                <w:szCs w:val="20"/>
              </w:rPr>
              <w:t>Комплекс средств автоматизации в составе:</w:t>
            </w:r>
          </w:p>
        </w:tc>
      </w:tr>
      <w:tr>
        <w:trPr>
          <w:trHeight w:val="273" w:hRule="atLeast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 xml:space="preserve">Шкаф </w:t>
            </w:r>
            <w:r>
              <w:rPr>
                <w:rFonts w:eastAsia="Calibri"/>
                <w:sz w:val="20"/>
                <w:szCs w:val="20"/>
              </w:rPr>
              <w:t xml:space="preserve"> телекоммуникационный напольный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Система хранения данных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Сервер тип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Сервер тип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 бесперебойного питания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Программно-аппаратный модуль доверенной загрузки со считывателем и идентификаторами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Коммутатор тип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Коммутатор тип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Программно-аппаратный комплекс обнаружения атак (вторжений) </w:t>
            </w:r>
            <w:r>
              <w:rPr>
                <w:rFonts w:cs="" w:cstheme="minorBidi"/>
                <w:sz w:val="20"/>
                <w:szCs w:val="20"/>
                <w:lang w:val="en-US"/>
              </w:rPr>
              <w:t>ViPNet</w:t>
            </w:r>
            <w:r>
              <w:rPr>
                <w:rFonts w:cs="" w:cstheme="minorBidi"/>
                <w:sz w:val="20"/>
                <w:szCs w:val="20"/>
              </w:rPr>
              <w:t xml:space="preserve"> </w:t>
            </w:r>
            <w:r>
              <w:rPr>
                <w:rFonts w:cs="" w:cstheme="minorBidi"/>
                <w:sz w:val="20"/>
                <w:szCs w:val="20"/>
                <w:lang w:val="en-US"/>
              </w:rPr>
              <w:t>IDS</w:t>
            </w:r>
            <w:r>
              <w:rPr>
                <w:rFonts w:cs="" w:cstheme="minorBidi"/>
                <w:sz w:val="20"/>
                <w:szCs w:val="20"/>
              </w:rPr>
              <w:t xml:space="preserve"> 1000 2.х*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Программно-аппаратный комплекс шифрования </w:t>
            </w:r>
            <w:r>
              <w:rPr>
                <w:rFonts w:eastAsia="Calibri"/>
                <w:sz w:val="20"/>
                <w:szCs w:val="20"/>
                <w:lang w:val="en-US"/>
              </w:rPr>
              <w:t>ViPNet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HW</w:t>
            </w:r>
            <w:r>
              <w:rPr>
                <w:rFonts w:eastAsia="Calibri"/>
                <w:sz w:val="20"/>
                <w:szCs w:val="20"/>
              </w:rPr>
              <w:t>1000</w:t>
            </w:r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sz w:val="20"/>
                <w:szCs w:val="20"/>
              </w:rPr>
              <w:t xml:space="preserve"> 4.</w:t>
            </w:r>
            <w:r>
              <w:rPr>
                <w:rFonts w:eastAsia="Calibri"/>
                <w:sz w:val="20"/>
                <w:szCs w:val="20"/>
                <w:lang w:val="en-US"/>
              </w:rPr>
              <w:t>x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  <w:szCs w:val="24"/>
        </w:rPr>
      </w:pPr>
      <w:r>
        <w:rPr>
          <w:b/>
          <w:bCs/>
          <w:sz w:val="20"/>
          <w:szCs w:val="20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необходимости),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Таблица № 2.</w:t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tbl>
      <w:tblPr>
        <w:tblW w:w="14570" w:type="dxa"/>
        <w:jc w:val="left"/>
        <w:tblInd w:w="98" w:type="dxa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9"/>
        <w:gridCol w:w="1488"/>
        <w:gridCol w:w="3492"/>
        <w:gridCol w:w="26"/>
        <w:gridCol w:w="818"/>
        <w:gridCol w:w="4448"/>
        <w:gridCol w:w="50"/>
        <w:gridCol w:w="1666"/>
        <w:gridCol w:w="9"/>
        <w:gridCol w:w="1933"/>
      </w:tblGrid>
      <w:tr>
        <w:trPr>
          <w:trHeight w:val="2548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  <w:bookmarkStart w:id="1" w:name="_Toc483209450"/>
            <w:bookmarkStart w:id="2" w:name="_Toc483209450"/>
            <w:bookmarkEnd w:id="2"/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  <w:br/>
              <w:t>товара</w:t>
            </w: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товара</w:t>
            </w:r>
          </w:p>
        </w:tc>
        <w:tc>
          <w:tcPr>
            <w:tcW w:w="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Значение показателя товара, </w:t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товара,</w:t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при определении которого участником закупки могут не использоваться точные цифровые или иные параметры</w:t>
            </w:r>
          </w:p>
        </w:tc>
      </w:tr>
      <w:tr>
        <w:trPr>
          <w:trHeight w:val="7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Шкаф телекоммуникационный напольный 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Высота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юнит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48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IP20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Распределенная нагрузка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1200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Полка стационарная усиленная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Шина заземления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Блок электрических розеток 19</w:t>
            </w:r>
            <w:r>
              <w:rPr>
                <w:rFonts w:eastAsia="Calibri"/>
                <w:sz w:val="20"/>
                <w:szCs w:val="20"/>
                <w:lang w:val="en-US"/>
              </w:rPr>
              <w:t>”</w:t>
            </w:r>
            <w:r>
              <w:rPr>
                <w:rFonts w:eastAsia="Calibri"/>
                <w:sz w:val="20"/>
                <w:szCs w:val="20"/>
              </w:rPr>
              <w:t xml:space="preserve"> 8 гнезд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Монтажный комплект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Кабельный органайзер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Коммутационная панель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3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Система хранения данных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Тип корпуса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Возможность установки в монтажную стойку из п. 1.1 данного ТЗ.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bCs/>
                <w:sz w:val="20"/>
                <w:szCs w:val="20"/>
              </w:rPr>
              <w:t>Высота корпуса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bCs/>
                <w:sz w:val="20"/>
                <w:szCs w:val="20"/>
                <w:lang w:val="en-US"/>
              </w:rPr>
              <w:t>U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bCs/>
                <w:sz w:val="20"/>
                <w:szCs w:val="20"/>
              </w:rPr>
              <w:t>Не более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Система хранения данных (СХД) представляет собой комплексное решение, состоящее из контроллеров системы хранения данных с интерфейсами ввода-вывода, хранилища в виде внутренних дисков и подключаемых дисковых полок с предустановленными жесткими дисками, управляющего программного обеспечения с необходимыми лицензиями, из коммутационных и силовых кабелей и комплекта крепления в серверную стойку, а так же сопровождается обязательствами производителя по технической поддержке. Система хранения данных обеспечивает постоянную доступность пользовательских и используемых информационными системами предприятия данных и имеет полностью дублированные компоненты и не имеет единой точки отказа.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Контроллеры системы хранения,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Каждый отдельный контроллер достаточен для обеспечения работы всей СХД, имеет центральный процессор (CPU), кэш память, порты ввода-вывода, порты для подключения дополнительных дисковых полок. </w:t>
            </w:r>
            <w:r>
              <w:rPr>
                <w:color w:val="000000" w:themeColor="text1"/>
                <w:sz w:val="20"/>
                <w:szCs w:val="20"/>
              </w:rPr>
              <w:t>Кэш память на запись поддерживает функцию зеркалирования ее между контроллерами и защищена по питанию.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контроллеров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Режим работы контроллеров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Active-Active с возможностью резервирования и горячей замены и поддержкой архитектуры ассиметричного доступа (ALUA).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Защита данных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СХД поддерживает RAID уровней 0, 1, 5, 6, 10, 50, а также динамические группы с возможностью виртуализации дискового пространства. Имеется возможность одновременно использовать как RAID группы, так и динамические пулы в рамках одной СХД.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Обновление микрокода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СХД поддерживает обновление версий микрокода контроллеров в «горячем» режиме, без прерывания доступа к данным.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Дисковые полки расширения,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Поддерживается отказоустойчивое подключение дисковых полок к контроллерам СХД. Дисковые полки поддерживают горячую замену жестких дисков. Каждая дисковая полка имеет дублированные источники питания, вентиляторы, модули ввода-вывода. Имеется возможность смешивать диски разного типа (SSD, SAS, NL-SAS) и объема в рамках одной дисковой полки. Имеется возможность смешивать дисковые полки для дисков разного форм-фактора в рамках одной СХД.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Интерфейс подключения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Дисковые полки имеют интерфейс подключения к контроллерам системы хранения SAS 12 Гбит/с.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Максимально возможное количество дисков </w:t>
            </w:r>
            <w:r>
              <w:rPr>
                <w:color w:val="000000"/>
                <w:sz w:val="20"/>
                <w:szCs w:val="20"/>
              </w:rPr>
              <w:t xml:space="preserve">форм-фактора 2,5” </w:t>
            </w:r>
            <w:r>
              <w:rPr>
                <w:sz w:val="20"/>
                <w:szCs w:val="20"/>
              </w:rPr>
              <w:t>без использования полки расширения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24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установленных жестких дисков с интерфейсом SAS 12 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Объем каждого жесткого диска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Тб.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12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установленных твердотельных накопителей ориентированных на операции интенсивного чтения с интерфейсом SAS 12 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Объем каждого твердотельного накопителя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Гб.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960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Поддерживаемые типы дисков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Поддерживается возможность установки следующих жестких дисков (в основной системе и полках расширения):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7.2K NLSAS 3.5"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8TB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10TB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12TB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12TB FIPS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7.2K NLSAS 2.5"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2TB FIPS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10K SAS 2.5”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1.2TB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1.8TB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2.4TB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2.4TB FIPS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15K SAS 2.5”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900GB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900GB FIPS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SSD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480GB</w:t>
            </w:r>
          </w:p>
          <w:p>
            <w:pPr>
              <w:pStyle w:val="ListParagraph"/>
              <w:numPr>
                <w:ilvl w:val="1"/>
                <w:numId w:val="4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960GB</w:t>
            </w:r>
          </w:p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1.92TB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bidi w:val="0"/>
              <w:ind w:left="720" w:firstLine="72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Диски горячей замены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Предусмотрены диски горячей замены, как выделенные для отдельных RAID групп, так и общие на всю СХД, в случае использования динамических пулов имеется возможность резервирования части пространства каждого диска, входящего в такой пул.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Форм-фактор, габариты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Дисковые полки имеют возможность установки в стандартный </w:t>
            </w:r>
            <w:r>
              <w:rPr>
                <w:sz w:val="20"/>
                <w:szCs w:val="20"/>
              </w:rPr>
              <w:t>19” серверный шкаф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Расширяемость и масштабируемость,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Поддерживается возможность расширения дискового пространства СХД без остановки ввода-вывода путем добавления новых дисков и дисковых полок.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Управление данными,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поддерживает, как традиционные дисковые RAID-группы, так и динамические группы с использованием технологии защиты с избыточным кодированием (erasure coding). Размер дисковой группы при использовании традиционной защиты RAID не ограничен по максимальному размеру.</w:t>
            </w:r>
          </w:p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поддерживает дисковые пулы (объединение дисковых групп).</w:t>
            </w:r>
          </w:p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поддерживает, как виртуальные дисковые пулы, так и традиционные.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Выделение дискового пространства серверам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Дисковое пространство предоставляется серверам в виде логических томов, доступных серверам сразу в объеме, определенном администратором. При этом, имеется возможность выделения дискового пространства на СХД автоматически и только по мере реально записанного объема данных серверами. 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Создание мгновенных копий логических томов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Система обеспечивает функционал создания мгновенных копий логических томов. Мгновенные копии создаются по технологии redirect on write (ROW). 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Расширение дискового пространства и управление RAID группами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Поддерживается расширение отдельных RAID групп, динамических пулов и отдельных логических томов без прерывания операций ввода-вывода. Поддерживается возможность изменения уровня RAID отдельных групп, изменение размера блока данных.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Повышение производительности и использования SSD дисков в качестве кэш-памяти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Система обеспечивает функционал, позволяющий повышать производительность ввода-вывода и использовать SSD диски в качестве быстродействующей кэш-памяти для операций чтения.</w:t>
            </w:r>
          </w:p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Технология позволяет создавать дополнительную дисковую кэш-группу на каждый виртуальный пул.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Многоуровневое хранение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обеспечивает функционал автоматического многоуровневого хранения данных, которая поддерживает максимальную производительность системы за счет перемещения наиболее часто используемых блоков данных, на производительные слои хранения, редко используемых на медленные слои хранения.</w:t>
            </w:r>
          </w:p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Оценка частоты использования блоков данных (сбор статистики) происходит не реже одного раза в 5 секунд.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Удаленная репликация данных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обеспечивает удаленную репликацию данных по протоколам IP и FC.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Создание полных физических копий томов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Система обеспечивает функционал создания полных физических копий томов.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Управление доступом серверов,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 уровне СХД поддерживается технология разделения доступа серверов к дисковым ресурсам (логическим томам). 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Управление доступом по множественным путям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СХД поддерживает четыре независимых пути подключения дискового массива к серверам, имеется возможность использовать ПО управления множественным доступом (MPIO) как встроенное в операционные системы, так и доступное от производителя СХД.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Одновременный доступ к логическим томам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Поддерживается возможность одновременного доступа к одному логическому тому разных серверов (узлов кластера).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Требования к лицензированию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Следующий функционал включен на максимальную конфигурацию и максимальный объем системы: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Динамические группы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Виртуальное выделение ресурсов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Организация дополнительной кэш-памяти для операций чтения на твердотельных дисках (SSD read cache)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Асинхронная репликация по FC и IP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Мгновенные снимки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Организация многоуровневого автоматического хранения, поддержка  трех уровней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spacing w:before="0" w:after="60"/>
              <w:contextualSpacing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Создание полных физических копий томов</w:t>
            </w:r>
          </w:p>
          <w:p>
            <w:pPr>
              <w:pStyle w:val="Normal"/>
              <w:bidi w:val="0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Управление СХД,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Доступен функционал управления СХД из единой консоли управления, имеется возможность использовать как графический интерфейс (GUI), так и командную строку (CLI) и REST API. ПО управления СХД  имеет возможность мониторинга производительности.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Управление через графический интерфейс, GUI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Поддерживается управление СХД через графический интерфейс на основе протокола HTML5.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Управление через командную строку, CLI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Поддерживается управление СХД через командную строку.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Управление через командную строку, REST API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Поддерживается управление СХД через REST API.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Интеграция с операционными системами, гипервизорами, общие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Поддерживаются основные коммерческие и свободно-распространяемые операционные системы, поддерживаются основные платформы виртуализации (гипервизоры).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Программный комплекс Средства виртуализации «Брест»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Функциональные требования к программному комплексу Средства виртуализации «Брест»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9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 xml:space="preserve">Программное обеспечение включено в  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Программное обеспечение регулярно обновляется для нейтрализации угроз эксплуатации уязвимостей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Программное обеспечение ф</w:t>
            </w:r>
            <w:r>
              <w:rPr>
                <w:color w:val="000000"/>
                <w:sz w:val="20"/>
                <w:szCs w:val="20"/>
              </w:rPr>
              <w:t>ункционирует в среде операционной системы, включенной в Единый реестр российских программ для электронных вычислительных машин и баз данных.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Программное обеспечение выполняет следующие функции: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обеспечивает эмуляцию аппаратного обеспечения с использованием аппаратных возможностей архитектуры x86-64 по виртуализации процессоров на основе модуля KVM (Kernel-based Virtual Machine) 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обеспечивает создание виртуальных машин (ВМ), их образов и шаблонов с поддержкой 32 и 64-битных гостевых операционных систем;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создания ВМ из настраиваемых шаблонов;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поддержку в ВМ до 240 виртуальных процессоров (физических ядер);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поддержку в ВМ до 4000 GB оперативной памяти;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 идентификацию и аутентификацию субъектов доступа (пользователей и администраторов) до предоставления доступа к функциям виртуализации и управления в том числе в режиме взаимодействия со средствами создания единого пространства пользователей;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обеспечивает функционирование в условиях мандатного и дискреционного разграничения доступа при межпроцессном и сетевом взаимодействии, включая взаимодействие между ВМ по протоколам стека IPv4 в условиях мандатного разграничения доступа и доступ субъектов к файлам-образам и экземплярам функционирующих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обеспечивает запуск ВМ в виде отдельного процесса, функционирующего от имени учетной записи субъекта доступа (пользователя) с унаследованием его мандатных атрибутов;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создания тонких клиентов с предоставлением удаленного доступа к ВМ по протоколам VNC, RDP и SPICE, в т.ч. в условиях установленных  правил дискреционного и мандатного управления доступом;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обеспечивает интеграцию с доменами FreeIPA, Microsoft Active Directory;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 предоставляет полностью локализованный интерфейс с автомасштабированием под разрешение экрана;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>- реализовывает поддержку различных сценариев VDI — с одним или несколькими брокерами (с балансировкой), внутри одного кластера или с выделенным кластером VDI;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>- поддерживает брокер VDI, запускаемый на физическом узле или виртуальной машине;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>- реализовывает поддержку как постоянных, так и временных (создаваемых по запросу) виртуальных рабочих мест;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 xml:space="preserve">- обеспечивает возможность подключения к инфраструктуре, как без установки клиента (например, с помощью браузера), так и с помощью клиентского приложения; 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управление конфигурацией ВМ с помощью графического и консольного интерфейсов;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 xml:space="preserve">- обеспечивает возможность изменения количества выделенных процессоров и размера оперативной памяти виртуальным машинам без завершения их функционирования; 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подключения к ВМ устройств из состава аппаратных средств, на которых функционирует серверная часть изделия, включая устройства USB 3.0;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 добавление виртуальных дисков в гостевую операционную систему и увеличение их размеров без остановки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поддержку открытого стандарта для хранения и распространения виртуальных машин Open Virtualization Format (OVF);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возможности клонирования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создания кластеров высокой доступности, обеспечивающих отказоустойчивое функционирование ВМ посредством репликации файлов ВМ между системами хранения и миграции ВМ между узлами кластера;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выполнение миграции работающих ВМ между узлами кластера без прерывания работы;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ручной балансировки нагрузки на вычислительные ресурсы аппаратных средств за счет перераспределения ВМ между узлами кластера;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 автоматическое распределение сервером виртуализации ресурсов между работающими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маршрутизации сетевых пакетов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возможности защиты файлов-образов ВМ от модификации в процессе функционирования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возможности централизованного управления кластерами, серверной частью изделия на всех узлах кластера высокой доступности, хранилищами и виртуальными коммутаторами;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мониторинг работоспособности и использования ресурсов ВМ;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поддержку виртуальных коммутаторов с технологией VLAN (Virtual Local Area Network);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регистрации событий с использованием средств централизованного протоколирования;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централизованного хранения конфигурационной информации о ВМ и среде виртуализации;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- обеспечивает возможность создания резервных копий виртуальных машин, а также последующего восстановления;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>- обеспечивает автоматическую миграцию ВМ между узлами без простоев;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>- наличие встроенного средства резервного копирования и</w:t>
              <w:br/>
              <w:t>восстановления виртуальных машин без использования агентов. Поддержка резервного копирования и восстановления виртуальных машин. Поддержка восстановления на уровне</w:t>
              <w:br/>
              <w:t>файлов ОС;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Tahoma"/>
                <w:color w:val="auto"/>
                <w:kern w:val="2"/>
                <w:sz w:val="20"/>
                <w:szCs w:val="20"/>
                <w:lang w:eastAsia="zh-CN" w:bidi="hi-IN"/>
              </w:rPr>
              <w:t xml:space="preserve">обеспечивает </w:t>
            </w:r>
            <w:r>
              <w:rPr>
                <w:color w:val="auto"/>
                <w:sz w:val="20"/>
                <w:szCs w:val="20"/>
              </w:rPr>
              <w:t>выполнение резервного копирования как по требованию, так и по расписанию;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 лицензия не ограничивает количество узлов кластера и гостевых ВМ.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Отказоустойчивость СХД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СХД обеспечивает высокую надежность и сохранность данных, путем резервирования всех критичных подсистем – источников питания, вентиляторов охлаждения, подключения дисковых полок и интерфейсов подключения к сети хранения и серверам. СХД не имеет единой точки отказа, все компоненты задублированы.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Электропитание,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тепловыделение, </w:t>
            </w:r>
            <w:r>
              <w:rPr>
                <w:b/>
                <w:sz w:val="20"/>
                <w:szCs w:val="20"/>
              </w:rPr>
              <w:t>потребляемая мощность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Каждая СХД и дисковые полки имеют два источников питания, работающих по схеме N + 1 с возможностью горячей замены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Напряжение (однофазное)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100 – 240</w:t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Частота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Потребляемая мощность в требуемой конфигурации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более 580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Условия эксплуатации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Градусов С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5 – 35</w:t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Относительная влажность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10 – 80</w:t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Гарантийные обязательства, услуги по инсталляции и обслуживанию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СХД поставляется с гарантийными обязательствами производителя, которые действуют в течении пятилетнего срока c даты передачи оборудования Заказчику.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Гарантийные обязательства производителя включают: 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 xml:space="preserve">Круглосуточные 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«реального» времени. Заказчик имеет возможность при возникновении вопроса напрямую по телефонной линии обратиться к инженеру технической поддержки производителя без помещения заявки на ремонт в очередь ожидания.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Проведение аппаратного ремонта (с предоставлением исправных запасных частей) на месте эксплуатации по рабочим дням, в рабочее время.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Обеспечение Заказчику возможности ускоренного решения заявки на ремонт путем установления «приоритета» инцидента.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Обеспечение Заказчику возможности оперативного подключения специализированных экспертных групп технической поддержки для ускоренного решения сложных проблем.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Предоставление доступных модификаций (улучшений, исправлений и обновлений) управляющего программного обеспечение СХД (firmware) по мере их выпуска производителем.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Обеспечение Заказчику возможности реализации механизма автоматического размещения заявок на ремонт, посредством предоставления бесплатных программных средств, реализующих API к системе help-desk производителя и передачу информации технической поддержке производителя об ошибках в работе оборудования.</w:t>
            </w:r>
          </w:p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Производитель СХД обеспечивает возможность расширения стандартной поддержки  на комплектующие до 7 лет с момента поставки оборудования.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Сервер тип 1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Тип корпуса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установки в монтажную стойку из п. 1.1 данного ТЗ.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Высота корпуса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более 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Общие требования к корпусу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Корпус сервера обеспечивает доступ ко всем компонентам, без использования инструментов.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Имеется комплект телескопических направляющих для установки вычислительного узла в стойку в комплекте с рукавом для укладки кабелей.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Имеется комплект кабелей для подключения к сети питания.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Имеет запираемую на ключ лицевую панель, ограничивающую доступ к жестким дискам, USB-портам, кнопке управления питанием.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стандартных вентиляторов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отсеков для жестких дисков 2,5'' с возможностью горячей замены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Мощность блока питания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750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блоков питания с возможностью горячей замены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установленных процессоров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Тактовая частота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ГГц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2,1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ядер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Размер кэш-памяти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35,75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1280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модулей оперативной памяти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Порты 1 Гбит/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BASE-T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Порты 10 Гбит/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, SFP+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разъемов PCI Express x16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Количество установленных </w:t>
            </w:r>
            <w:r>
              <w:rPr>
                <w:sz w:val="20"/>
                <w:szCs w:val="20"/>
                <w:lang w:val="en-US"/>
              </w:rPr>
              <w:t>ssd</w:t>
            </w:r>
            <w:r>
              <w:rPr>
                <w:sz w:val="20"/>
                <w:szCs w:val="20"/>
              </w:rPr>
              <w:t xml:space="preserve"> дисков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highlight w:val="yellow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Емкость одного жесткого диска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240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RAID-контроллер с поддержкой уровней RAID 0/1/5/6/10/50/60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Дополнительные требования к RAID-контроллеру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Сканирование в фоновом режиме поверхности жёстких дисков с автоматическим исключением повреждённых секторов.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Проверка целостности кэш-памяти.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Мониторинг параметров жёстких дисков с информированием администратора о возможных сбоях.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RAID-контроллер не занимает слот PCIe, предназначенный для установки карт расширения.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Возможность управления RAID-контроллерами, устанавливаемых внутри корпуса вычислительного узла, через веб-интерфейс или командный интерфейс модуля управления без необходимости установки агентского ПО в ОС.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управления RAID-контроллером без необходимости перезагрузки вычислительного узла.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Отслеживание состояния накопителей, подключенных к RAID-контроллеру, в т.ч. отслеживание состояния виртуальных дисков.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Создание, удаление и конфигурирование виртуальных дисков.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Изменение настроек RAID-контроллера.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Расширение ёмкости виртуальных дисков без прерывания доступа к ним.</w:t>
            </w:r>
          </w:p>
          <w:p>
            <w:pPr>
              <w:pStyle w:val="Normal"/>
              <w:bidi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Изменения уровня RAID виртуальных дисков без прерывания доступа к ним.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Встроенные аппаратно-программные средства для удаленного управления и мониторинга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Имеет встроенные аппаратно-программные средства для удаленного управления и мониторинга, обеспечивающие следующие функции: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Возможность отслеживания состояния и управления вычислительного узла с использованием мобильных устройств, поддерживающих передачу данных с использованием стандартов Bluetooth, WiFi и NFC при добавлении опционального модуля;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Удаленный доступ к консоли управления вычислительного узла посредством веб-браузеров, интерфейса командной строки по протоколам ssh и telnet, IPMI и Redfish;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- Отображение инвентаризационной информации обо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т.ч. и виртуальных;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Удаленная перезагрузка, включение/выключение вычислительного узла (в том числе загрузка с виртуального оптического диска);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- Удаленный перехват консоли управления вычислительного узла (виртуальная консоль): экрана, клавиатуры и координатно-графического указателя как на этапе загрузки вычислительного узла, так и во время работы операционных систем. Виртуальная консоль име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 возможность управления питанием вычислительного узла, возможность указания загрузочного устройства, с одновременным подключением до 4 пользователей и взаимодействием в режиме обмена сообщениями. Виртуальная консоль  поддержива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 работу с использованием веб-браузера и стандарта HTML5, без необходимости использования плагинов Java и ActiveX; </w:t>
            </w:r>
          </w:p>
          <w:p>
            <w:pPr>
              <w:pStyle w:val="Normal"/>
              <w:bidi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- Возможность сбора информации об уровне утилизации центрального процессора и оперативной памяти сервера без необходимости установки агентского ПО в ОС.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 к доступности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Память с поддержкой технологии ECC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Диски с возможностью горячей замены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Резервная система охлаждения с возможностью горячей замены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Резервные блоки питания с возможностью горячей замены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удаленного доступа к экрану, клавиатуре и мышке сервера.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удаленно подключать виртуальные cdrom и флешку для установки операционной системы или обслуживания сервера. Доступ осуществляется через выделенный RJ45 порт на плате, а так же контроллер жизненного цикла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установки внутреннего модуля SD с 2-мя установленными картами microSDHC/SDXC до 64 Гбайт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Поддержка функции исправления данных в одном устройстве (SDDC)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Запасной ранг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Поддержка кластеризации и виртуализации с высокой отказоустойчивостью</w:t>
            </w:r>
          </w:p>
          <w:p>
            <w:pPr>
              <w:pStyle w:val="Normal"/>
              <w:bidi w:val="0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Упреждающие оповещения для эффективного управления системами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Запись конфигурации вычислительного узла, драйверов, хранения резервного образа вычислительного узла для перезагрузки в случае возникновения неполадок на энергонезависимый носитель, устанавливаемый внутри корпуса вычислительного узла или на сетевой файловый ресурс;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генерации NMI;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Возможность сохранения скриншота экрана описания системного сбоя с выводом диагностической информации;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через веб-интерфейс или интерфейс командной строки экспорта диагностической информации о состояния вычислительного узла, включая логи как с модуля управления сервером, так и логи операционной системы или гипервизора, в едином консолидированном отчёте.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Запись конфигурации модуля управления на выделенный энергонезависимый накопитель, устанавливаемый внутри корпуса вычислительного узла, для быстрого восстановления работоспособности вычислительного узла в случае замены материнской платы;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Возможность использования аппаратно-программных средств для подготовки к установке операционной системы (конфигурирование томов, создание разделов, копирование драйверов, создание файлов ответа для инсталляторов ОС), не требующие использования внешних носителей информации; 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применения обновлений микрокодов компонент вычислительного узла как через интерфейс модуля управления сервером, так и из поддерживаемых операционных систем;</w:t>
            </w:r>
          </w:p>
          <w:p>
            <w:pPr>
              <w:pStyle w:val="Normal"/>
              <w:bidi w:val="0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Модуль управления сервером имеет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Операционная система с сертификатом ФСТЭК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Функциональные требования к операционной системе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Идентификация и аутентификация пользователей. Мандатное разграничение доступа.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Дискреционное разграничение доступа Маркировка документов.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Регистрация событий.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Защита ввода/вывода информации на отчуждаемый физический носитель. Сопоставление пользователя с устройством. Изоляция модулей.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Очистка памяти.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Контроль целостности комплекса средств защиты. Надежное восстановление 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Пакет офисных программ (текстовый редактор, редактор электронных таблиц, редактор презентаций, редактор векторной графики) Комплексная защита информации разграничения доступа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-дискреционное разграничение доступа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список контроля доступа для пользователей и файлов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-мандатное разграничение доступа по уровням и категориям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Контроль целостности операционной системы: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-контроль целостности дистрибутива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-контроль объектов файловой системы</w:t>
            </w:r>
          </w:p>
          <w:p>
            <w:pPr>
              <w:pStyle w:val="Normal"/>
              <w:bidi w:val="0"/>
              <w:spacing w:before="100" w:after="10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-контроль цифровой подписи исполняемых файлов, обеспечивающий проверку их неизменности и подлинности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Средство антивирусной защиты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Требования к функционалу средства антивирусной защиты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Проверка томов сервера по заранее заданному расписанию или запросу администратора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Сканирования «на лету» – непосредственно при записи или открытии файлов на сервере с рабочих станций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Многопоточная поверка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Автоматическое отключение от сервера станции – источника вирусной угрозы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Мгновенное оповещение администратора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Изоляция инфицированных файлов в карантине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Лечение, восстановление и/или удаление файлов из карантина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Ведение журнала действий антивируса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Автоматические обновления вирусных баз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 к гарантийным обязательствам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Предоставляется с гарантийными обязательствами производителя в течение трехлетнего гарантийного срока c даты продажи конечному пользователю. Гарантийные обязательства производителя включают: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- Круглосуточные 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реального времени;</w:t>
            </w:r>
          </w:p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- Замена неисправных аппаратных компонент на месте эксплуатации авторизованными сервисными инженерами производителя/уполномоченными производителем на площадке заказчика на следующий рабочий день;</w:t>
            </w:r>
          </w:p>
          <w:p>
            <w:pPr>
              <w:pStyle w:val="Normal"/>
              <w:bidi w:val="0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- Поставщик является авторизованным реселлером производителя оборудования и имеет партнерский сертификат.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Требования к комплекту поставки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100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Комплект для монтирования (Рельсы и кронштейн для прокладки кабелей)</w:t>
            </w:r>
          </w:p>
          <w:p>
            <w:pPr>
              <w:pStyle w:val="Normal"/>
              <w:bidi w:val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Комплект документации на электронном носителе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Сервер тип 2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Тип корпуса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Возможность установки в монтажную стойку из п. 1.1 данного ТЗ.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Высота корпуса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более 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отсеков для жестких дисков 2,5'' с возможностью горячей замены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 к отсекам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 xml:space="preserve">Отсеки для установки </w:t>
            </w:r>
            <w:r>
              <w:rPr>
                <w:rFonts w:eastAsia="Helv"/>
                <w:sz w:val="20"/>
                <w:szCs w:val="20"/>
                <w:lang w:val="en-US"/>
              </w:rPr>
              <w:t>SATA</w:t>
            </w:r>
            <w:r>
              <w:rPr>
                <w:rFonts w:eastAsia="Helv"/>
                <w:sz w:val="20"/>
                <w:szCs w:val="20"/>
              </w:rPr>
              <w:t>/SAS накопителей доступны с фронтальной (передней) части корпуса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Мощность блока питания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550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блоков питания с возможностью горячей замены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установленных процессоров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Тактовая частота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ГГц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2,1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ядер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Размер кэш-памяти одного установленного процессора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11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32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модулей оперативной памяти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портов  Ethernet RJ45 1Гбит/с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Количество разъемов PCI Express x16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Количество установленных </w:t>
            </w:r>
            <w:r>
              <w:rPr>
                <w:sz w:val="20"/>
                <w:szCs w:val="20"/>
                <w:lang w:val="en-US"/>
              </w:rPr>
              <w:t xml:space="preserve">SSD </w:t>
            </w:r>
            <w:r>
              <w:rPr>
                <w:sz w:val="20"/>
                <w:szCs w:val="20"/>
              </w:rPr>
              <w:t>дисков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Емкость одного жесткого диска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менее 240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Внутренний DVD+/-RW привод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RAID-контроллер с поддержкой уровней RAID 0,1,5,10,50 с </w:t>
            </w:r>
            <w:r>
              <w:rPr>
                <w:rFonts w:eastAsia="Helv"/>
                <w:sz w:val="20"/>
                <w:szCs w:val="20"/>
              </w:rPr>
              <w:t xml:space="preserve">интерфейсом не ниже </w:t>
            </w:r>
            <w:r>
              <w:rPr>
                <w:rFonts w:eastAsia="Helv"/>
                <w:sz w:val="20"/>
                <w:szCs w:val="20"/>
                <w:lang w:val="en-US"/>
              </w:rPr>
              <w:t>SAS</w:t>
            </w:r>
            <w:r>
              <w:rPr>
                <w:rFonts w:eastAsia="Helv"/>
                <w:sz w:val="20"/>
                <w:szCs w:val="20"/>
              </w:rPr>
              <w:t xml:space="preserve"> 12 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 xml:space="preserve">Возможность установки модуля для использования 2 </w:t>
            </w:r>
            <w:r>
              <w:rPr>
                <w:rFonts w:eastAsia="Helv"/>
                <w:sz w:val="20"/>
                <w:szCs w:val="20"/>
                <w:lang w:val="en-US"/>
              </w:rPr>
              <w:t>micro</w:t>
            </w:r>
            <w:r>
              <w:rPr>
                <w:rFonts w:eastAsia="Helv"/>
                <w:sz w:val="20"/>
                <w:szCs w:val="20"/>
              </w:rPr>
              <w:t>SD карт для гипервизора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 xml:space="preserve">Возможность установки модуля для использования 2 карт </w:t>
            </w:r>
            <w:r>
              <w:rPr>
                <w:rFonts w:eastAsia="Helv"/>
                <w:sz w:val="20"/>
                <w:szCs w:val="20"/>
                <w:lang w:val="en-US"/>
              </w:rPr>
              <w:t>M</w:t>
            </w:r>
            <w:r>
              <w:rPr>
                <w:rFonts w:eastAsia="Helv"/>
                <w:sz w:val="20"/>
                <w:szCs w:val="20"/>
              </w:rPr>
              <w:t>.2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 к модулю удаленного управления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Наличие графического управления через браузер.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Возможность автообновления.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Синхронизация с репозиторием по расписанию.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Возможность двухфакторной аутентификация.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Средство антивирусной защиты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Требования к функционалу средства антивирусной защиты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Проверка томов сервера по заранее заданному расписанию или запросу администратора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Сканирования «на лету» – непосредственно при записи или открытии файлов на сервере с рабочих станций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Многопоточная поверка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Автоматическое отключение от сервера станции – источника вирусной угрозы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Мгновенное оповещение администратора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Изоляция инфицированных файлов в карантине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Лечение, восстановление и/или удаление файлов из карантина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230" w:leader="none"/>
              </w:tabs>
              <w:bidi w:val="0"/>
              <w:spacing w:before="0" w:after="200"/>
              <w:ind w:left="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Ведение журнала действий антивируса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sz w:val="20"/>
                <w:szCs w:val="20"/>
              </w:rPr>
              <w:t>Автоматические обновления вирусных баз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Требования к комплекту поставки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В комплекте поставки имеются кабели, для подключения к существующей электрической сети.</w:t>
            </w:r>
          </w:p>
          <w:p>
            <w:pPr>
              <w:pStyle w:val="Normal"/>
              <w:tabs>
                <w:tab w:val="clear" w:pos="709"/>
                <w:tab w:val="left" w:pos="599" w:leader="none"/>
              </w:tabs>
              <w:suppressAutoHyphens w:val="true"/>
              <w:bidi w:val="0"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Комплект установочных драйверов.</w:t>
            </w:r>
          </w:p>
          <w:p>
            <w:pPr>
              <w:pStyle w:val="Normal"/>
              <w:tabs>
                <w:tab w:val="clear" w:pos="709"/>
                <w:tab w:val="left" w:pos="599" w:leader="none"/>
              </w:tabs>
              <w:suppressAutoHyphens w:val="true"/>
              <w:bidi w:val="0"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Комплект для монтажа в стойку 19” (рельсы, лоток для прокладки кабелей).</w:t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Требования к гарантийным обязательствам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599" w:leader="none"/>
              </w:tabs>
              <w:suppressAutoHyphens w:val="true"/>
              <w:bidi w:val="0"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Расширенная гарантии от производителя на сервер и его компоненты, в течении 40 месяцев и временем реакции на следующий рабочий день.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Прямой, круглосуточный и без выходных доступ к технической поддержке корпоративного уровня, осуществляемой высококвалифицированными специалистами.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594" w:leader="none"/>
              </w:tabs>
              <w:suppressAutoHyphens w:val="true"/>
              <w:bidi w:val="0"/>
              <w:spacing w:before="0" w:after="200"/>
              <w:contextualSpacing/>
              <w:jc w:val="both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Поддержка удаленная и на месте установки с поставкой оборудования и предоставлением помощи специалистов.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bidi w:val="0"/>
              <w:spacing w:before="0" w:after="200"/>
              <w:contextualSpacing/>
              <w:jc w:val="left"/>
              <w:rPr>
                <w:rFonts w:eastAsia="Helv"/>
                <w:sz w:val="20"/>
              </w:rPr>
            </w:pPr>
            <w:r>
              <w:rPr>
                <w:rFonts w:eastAsia="Helv"/>
                <w:sz w:val="20"/>
                <w:szCs w:val="20"/>
              </w:rPr>
              <w:t>Помощь в поиске и устранении неисправностей, возникающих в работе программного обеспечения сторонних поставщиков, центра обработки данных и приложений конечных пользователей, операционных систем, микропрограммного обеспечения.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Источник бесперебойного питания 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Форм-фактор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установка в 19'' стойку или на пол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6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Входная мощность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6000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  <w:highlight w:val="white"/>
              </w:rPr>
            </w:pPr>
            <w:r>
              <w:rPr>
                <w:sz w:val="20"/>
                <w:szCs w:val="20"/>
                <w:shd w:fill="FDFDFD" w:val="clear"/>
              </w:rPr>
              <w:t>Дополнительный батарейный модуль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  <w:highlight w:val="white"/>
              </w:rPr>
            </w:pPr>
            <w:r>
              <w:rPr>
                <w:sz w:val="20"/>
                <w:szCs w:val="20"/>
                <w:shd w:fill="FDFDFD" w:val="clear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23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  <w:highlight w:val="white"/>
              </w:rPr>
            </w:pPr>
            <w:r>
              <w:rPr>
                <w:sz w:val="20"/>
                <w:szCs w:val="20"/>
                <w:shd w:fill="FDFDFD" w:val="clear"/>
              </w:rPr>
              <w:t>Монтажный комплект для монтажа в 19” стойку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sz w:val="20"/>
                <w:highlight w:val="white"/>
              </w:rPr>
            </w:pPr>
            <w:r>
              <w:rPr>
                <w:sz w:val="20"/>
                <w:szCs w:val="20"/>
                <w:shd w:fill="FDFDFD" w:val="clear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  <w:szCs w:val="20"/>
              </w:rPr>
              <w:t>Программно-аппаратный модуль доверенной загрузки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Функциональные возможности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начало работы до загрузки операционной системы;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идентификация и аутентификация пользователей при их входе в систему с помощью персональных идентификаторов iButton, eToken PRO (Java), eToken PRO, iKey 2032, Rutoken, Rutoken RF;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защита от несанкционированной загрузки операционной системы со съемных носителей информации: дискет, оптических дисков, ZIP-устройств, магнитооптических дисков, USB-устройств и др.;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контроль целостности программного и аппаратного обеспечения защищаемого компьютера до загрузки операционной системы: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файлов и физических секторов жесткого диска;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элементов системного реестра компьютера;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журнала транзакций;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PCI</w:t>
            </w:r>
            <w:r>
              <w:rPr>
                <w:rFonts w:eastAsia="Calibri"/>
                <w:sz w:val="20"/>
                <w:szCs w:val="20"/>
              </w:rPr>
              <w:t>-устройств;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структур </w:t>
            </w:r>
            <w:r>
              <w:rPr>
                <w:rFonts w:eastAsia="Calibri"/>
                <w:sz w:val="20"/>
                <w:szCs w:val="20"/>
                <w:lang w:val="en-US"/>
              </w:rPr>
              <w:t>SMBIOS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таблиц </w:t>
            </w:r>
            <w:r>
              <w:rPr>
                <w:rFonts w:eastAsia="Calibri"/>
                <w:sz w:val="20"/>
                <w:szCs w:val="20"/>
                <w:lang w:val="en-US"/>
              </w:rPr>
              <w:t>ACPI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конфигурации оперативной памяти.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функционирование механизма сторожевого таймера;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событий, связанных с безопасностью системы;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возможность исполнения аппаратно-программный модуль доверенной загрузки на платах </w:t>
            </w:r>
            <w:r>
              <w:rPr>
                <w:rFonts w:eastAsia="Calibri"/>
                <w:sz w:val="20"/>
                <w:szCs w:val="20"/>
                <w:lang w:val="en-US"/>
              </w:rPr>
              <w:t>PCI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Express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230" w:leader="none"/>
              </w:tabs>
              <w:bidi w:val="0"/>
              <w:ind w:left="0" w:hanging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государственную тайну.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Считыватель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30" w:leader="none"/>
              </w:tabs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Идентификаторы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30" w:leader="none"/>
              </w:tabs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Кронштейн для крепления к системному блоку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Коммутатор тип 1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Конструктив системного блока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Устанавливаемый в стойку 19”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Возможность резервирования по блокам питания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Количество блоков питания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Количество портов с пропускной способностью 10</w:t>
            </w:r>
            <w:r>
              <w:rPr>
                <w:sz w:val="20"/>
                <w:szCs w:val="20"/>
                <w:lang w:val="en-US"/>
              </w:rPr>
              <w:t>Gigabit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Gigabit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 с разъемом </w:t>
            </w:r>
            <w:r>
              <w:rPr>
                <w:sz w:val="20"/>
                <w:szCs w:val="20"/>
                <w:lang w:val="en-US"/>
              </w:rPr>
              <w:t>SFP</w:t>
            </w:r>
            <w:r>
              <w:rPr>
                <w:sz w:val="20"/>
                <w:szCs w:val="20"/>
              </w:rPr>
              <w:t>+/</w:t>
            </w:r>
            <w:r>
              <w:rPr>
                <w:sz w:val="20"/>
                <w:szCs w:val="20"/>
                <w:lang w:val="en-US"/>
              </w:rPr>
              <w:t>SFP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Количество кабелей прямого подключения QSFP+,40G,High Speed Direct-attach Cables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  <w:lang w:val="en-US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оптических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трансиверов</w:t>
            </w:r>
            <w:r>
              <w:rPr>
                <w:sz w:val="20"/>
                <w:szCs w:val="20"/>
                <w:lang w:val="en-US"/>
              </w:rPr>
              <w:t xml:space="preserve"> 10G Base-USR Optical Transceiver, SFP+, 10G, Multi-mode Module (850 nm, 0.1km, LC)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  <w:lang w:val="en-US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электрических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трансиверов</w:t>
            </w:r>
            <w:r>
              <w:rPr>
                <w:sz w:val="20"/>
                <w:szCs w:val="20"/>
                <w:lang w:val="en-US"/>
              </w:rPr>
              <w:t xml:space="preserve"> Electrical Transceiver, SFP ,GE, Electrical Interface Module (100m,RJ45)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технологии оценки качества каналов связи (потеря пакетов, задержка, вариация задержки) без генерации синтетических пакетов трафика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стандартного протокола оценки качества каналов связи </w:t>
            </w:r>
            <w:r>
              <w:rPr>
                <w:sz w:val="20"/>
                <w:szCs w:val="20"/>
                <w:lang w:val="en-US"/>
              </w:rPr>
              <w:t>TWAMP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RFC</w:t>
            </w:r>
            <w:r>
              <w:rPr>
                <w:sz w:val="20"/>
                <w:szCs w:val="20"/>
              </w:rPr>
              <w:t xml:space="preserve"> 5357)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вертикальной виртуализации устройств. Поддержка роли родительского устройства.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технологии интеллектуального обновления Автоматическое получение нужной версии программного обеспечения и необходимые патчи из облачного сервиса производителя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сбора и передачи данных телеметрии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  <w:lang w:val="en-US"/>
              </w:rPr>
              <w:t>MPLS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MPLS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VPN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>VPN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LDP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MPLS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протоколов построения кольцевых топологий со временем сходимости 50 мс.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протокола </w:t>
            </w:r>
            <w:r>
              <w:rPr>
                <w:sz w:val="20"/>
                <w:szCs w:val="20"/>
                <w:lang w:val="en-US"/>
              </w:rPr>
              <w:t>ERPS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ITU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.8032)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протокола защиты от петель (</w:t>
            </w:r>
            <w:r>
              <w:rPr>
                <w:sz w:val="20"/>
                <w:szCs w:val="20"/>
                <w:lang w:val="en-US"/>
              </w:rPr>
              <w:t>MSTP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протокола резервирования шлюза по умолчанию (</w:t>
            </w:r>
            <w:r>
              <w:rPr>
                <w:sz w:val="20"/>
                <w:szCs w:val="20"/>
                <w:lang w:val="en-US"/>
              </w:rPr>
              <w:t>VRRP)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>Поддержка</w:t>
            </w:r>
            <w:r>
              <w:rPr>
                <w:sz w:val="20"/>
                <w:szCs w:val="20"/>
                <w:lang w:val="en-US"/>
              </w:rPr>
              <w:t xml:space="preserve"> IPv6 (RIPng, OSPFv3, BGP4+, IS-IS for IPv6)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  <w:lang w:val="en-US"/>
              </w:rPr>
              <w:t>VXLAN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  <w:lang w:val="en-US"/>
              </w:rPr>
              <w:t>BGP EVPN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сбора и передачи метаданных зашифрованного трафика для задач поведенческого анализа системами безопасности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открытого </w:t>
            </w:r>
            <w:r>
              <w:rPr>
                <w:sz w:val="20"/>
                <w:szCs w:val="20"/>
                <w:lang w:val="en-US"/>
              </w:rPr>
              <w:t>API</w:t>
            </w:r>
            <w:r>
              <w:rPr>
                <w:sz w:val="20"/>
                <w:szCs w:val="20"/>
              </w:rPr>
              <w:t xml:space="preserve"> и запуска скриптов на языке </w:t>
            </w: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для автоматизации типовых задач и автоматической настройки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  <w:lang w:val="en-US"/>
              </w:rPr>
              <w:t>NETCONF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  <w:lang w:val="en-US"/>
              </w:rPr>
              <w:t>IPv</w:t>
            </w:r>
            <w:r>
              <w:rPr>
                <w:sz w:val="20"/>
                <w:szCs w:val="20"/>
              </w:rPr>
              <w:t>4 маршрутов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протоколов IPV4: RIPv1, OSPF, </w:t>
            </w:r>
            <w:r>
              <w:rPr>
                <w:sz w:val="20"/>
                <w:szCs w:val="20"/>
                <w:lang w:val="en-US"/>
              </w:rPr>
              <w:t>VRRP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VRF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BGP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BFD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Поддержка объединения в одну логическую единицу (стэк)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Максимальное количество в стэке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  <w:lang w:val="en-US"/>
              </w:rPr>
              <w:t>Jumbo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Frame</w:t>
            </w:r>
            <w:r>
              <w:rPr>
                <w:sz w:val="20"/>
                <w:szCs w:val="20"/>
              </w:rPr>
              <w:t xml:space="preserve"> пакетов размером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байт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Поддержка LLDP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Защита от наиболее распространённых типов угроз: </w:t>
            </w:r>
            <w:r>
              <w:rPr>
                <w:sz w:val="20"/>
                <w:szCs w:val="20"/>
                <w:lang w:val="en-US"/>
              </w:rPr>
              <w:t>DHCP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snooping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Source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Guard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ARP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Защита от атак на </w:t>
            </w:r>
            <w:r>
              <w:rPr>
                <w:sz w:val="20"/>
                <w:szCs w:val="20"/>
                <w:lang w:val="en-US"/>
              </w:rPr>
              <w:t>STP</w:t>
            </w:r>
            <w:r>
              <w:rPr>
                <w:sz w:val="20"/>
                <w:szCs w:val="20"/>
              </w:rPr>
              <w:t xml:space="preserve"> - фильтрация </w:t>
            </w:r>
            <w:r>
              <w:rPr>
                <w:sz w:val="20"/>
                <w:szCs w:val="20"/>
                <w:lang w:val="en-US"/>
              </w:rPr>
              <w:t>BPDU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Bridge Protocol Data Units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Функция исключения отдельных портов из расчёта </w:t>
            </w:r>
            <w:r>
              <w:rPr>
                <w:sz w:val="20"/>
                <w:szCs w:val="20"/>
                <w:lang w:val="en-US"/>
              </w:rPr>
              <w:t>STP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Функция отображения температуры и статуса системы охлаждения в web-интерфейсе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Тип системы охлаждения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Активная при помощи блока вентиляторов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bCs/>
                <w:sz w:val="20"/>
              </w:rPr>
            </w:pPr>
            <w:r>
              <w:rPr>
                <w:sz w:val="20"/>
                <w:szCs w:val="20"/>
              </w:rPr>
              <w:t>Питание от сети переменного тока 220-230В, 50Гц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contextualSpacing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Коммутатор тип 2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Конструктив системного блока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Устанавливаемый в стойку 19”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блоков питания с возможностью «горячей замены»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блоков питания постоянного тока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 установленных блоков питания переменного тока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Мощность блока питания переменного тока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Не более 600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Количество портов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RJ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-45 с пропускной способностью 1 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Количество интерфейсов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SFP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+ с пропускной способностью 1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Гбит/с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 кабелей прямого подключения 10G SFP+ High speed dedicated stack cable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оптических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трансиверов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 xml:space="preserve"> 10G Base-USR Optical Transceiver, SFP+, 10G, Multi-mode Module (850nm ,0.1km, LC)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Аутентификация 802.1,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MAC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 xml:space="preserve">web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портал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протоколов PIM SM, PIM 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M, PIM DM, MLD, and IGMP snooping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Обнаружение и блокирование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DOS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атак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технологии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sFlow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или аналога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технологии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Netconf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Емкость таблицы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MAC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адресов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16500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протоколов для построения сетей кольцевой топологии со временем сходимости 100 мс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исполнения сценариев управления и мониторинга написанных на языке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автоматической первоначальной настройки с использованием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USB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Flash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накопителя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Таблица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unicast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IPv4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маршрутов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8000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Таблица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unicast IPv6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маршрутов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3000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Таблица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multicast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IPv4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маршрутов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1500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Таблица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multicast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IPv6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маршрутов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1500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 записей списков контроля доступа (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ACL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) для трафика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IPv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2000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 записей списков контроля доступа (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ACL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) для трафика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IPv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Записей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2000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протоколов IPV4: RIPv1, OSPF,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-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BGP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VRRP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VRF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объединения в одну логическую единицу (стэк)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Количество в стеке 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Не менее 9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технологии интеллектуального обновления Автоматическое получение нужной версии программного обеспечения и необходимые патчи из облачного сервиса производителя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Поддержка LLDP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сбора и передачи данных телеметрии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Защита от наиболее распространённых типов угроз: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DHCP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snooping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IP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Source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Guard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ARP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security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Защита от атак на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STP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- фильтрация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BPDU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(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Bridge Protocol Data Units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протокола G.8032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Поддержка облачной модели управления, и возможность работы под управлением централизованного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SDN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контроллера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Поддержка протоколов 802.3ah, 802.1ag, Y.1731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Тип системы охлаждения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Активная при помощи блока вентиляторов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Питание от сети переменного тока 220-230В, 50Гц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Программно-аппаратный комплекс обнаружения атак (вторжений) </w:t>
            </w:r>
            <w:r>
              <w:rPr>
                <w:rFonts w:cs="" w:cstheme="minorBidi"/>
                <w:sz w:val="20"/>
                <w:szCs w:val="20"/>
                <w:lang w:val="en-US"/>
              </w:rPr>
              <w:t>ViPNet</w:t>
            </w:r>
            <w:r>
              <w:rPr>
                <w:rFonts w:cs="" w:cstheme="minorBidi"/>
                <w:sz w:val="20"/>
                <w:szCs w:val="20"/>
              </w:rPr>
              <w:t xml:space="preserve"> </w:t>
            </w:r>
            <w:r>
              <w:rPr>
                <w:rFonts w:cs="" w:cstheme="minorBidi"/>
                <w:sz w:val="20"/>
                <w:szCs w:val="20"/>
                <w:lang w:val="en-US"/>
              </w:rPr>
              <w:t>IDS</w:t>
            </w:r>
            <w:r>
              <w:rPr>
                <w:rFonts w:cs="" w:cstheme="minorBidi"/>
                <w:sz w:val="20"/>
                <w:szCs w:val="20"/>
              </w:rPr>
              <w:t xml:space="preserve"> 1000 2.х*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Высота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U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более 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bookmarkStart w:id="3" w:name="_GoBack"/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Количество портов </w:t>
            </w:r>
            <w:r>
              <w:rPr>
                <w:rFonts w:cs="Times New Roman" w:ascii="Liberation Serif" w:hAnsi="Liberation Serif"/>
                <w:b w:val="false"/>
                <w:i w:val="false"/>
                <w:color w:val="000000"/>
                <w:sz w:val="20"/>
                <w:szCs w:val="20"/>
                <w:shd w:fill="FFFFFF" w:val="clear"/>
                <w:lang w:val="en-US"/>
              </w:rPr>
              <w:t>Ethernet</w:t>
            </w:r>
            <w:r>
              <w:rPr>
                <w:rFonts w:cs="Times New Roman" w:ascii="Liberation Serif" w:hAnsi="Liberation Serif"/>
                <w:b w:val="false"/>
                <w:i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000000"/>
                <w:sz w:val="20"/>
                <w:szCs w:val="20"/>
                <w:shd w:fill="FFFFFF" w:val="clear"/>
                <w:lang w:val="en-US"/>
              </w:rPr>
              <w:t>RJ</w:t>
            </w:r>
            <w:r>
              <w:rPr>
                <w:rFonts w:cs="Times New Roman" w:ascii="Liberation Serif" w:hAnsi="Liberation Serif"/>
                <w:b w:val="false"/>
                <w:i w:val="false"/>
                <w:color w:val="000000"/>
                <w:sz w:val="20"/>
                <w:szCs w:val="20"/>
                <w:shd w:fill="FFFFFF" w:val="clear"/>
              </w:rPr>
              <w:t>45 10/100/1000 Мбит/с</w:t>
            </w:r>
            <w:bookmarkEnd w:id="3"/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4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Срок действия сервиса обновления баз решающих правил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мес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12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Функциональные требования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b/>
                <w:b/>
                <w:sz w:val="20"/>
              </w:rPr>
            </w:pPr>
            <w:r>
              <w:rPr>
                <w:rFonts w:eastAsia="" w:cs="" w:cstheme="minorBidi" w:eastAsiaTheme="minorHAnsi"/>
                <w:b/>
                <w:sz w:val="20"/>
                <w:szCs w:val="20"/>
              </w:rPr>
              <w:t>Обнаружение атак: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Обнаружение сетевых атак в режиме, близком к реальному масштабу времени.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Обнаружение сетевых атак на основе сигнатурного и эвристического методов выявления аномалий в сетевом трафике.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Поддержка сетевых интерфейсов 1 Гбит/с.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База сигнатур атак, представленная российской компанией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и обновляющаяся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один раз в неделю.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b/>
                <w:b/>
                <w:sz w:val="20"/>
              </w:rPr>
            </w:pPr>
            <w:r>
              <w:rPr>
                <w:rFonts w:eastAsia="" w:cs="" w:cstheme="minorBidi" w:eastAsiaTheme="minorHAnsi"/>
                <w:b/>
                <w:sz w:val="20"/>
                <w:szCs w:val="20"/>
              </w:rPr>
              <w:t>Запись событий: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Регистрация информации об обнаруженных событиях и атаках для последующего анализа.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Сохранение </w:t>
            </w:r>
            <w:r>
              <w:rPr>
                <w:rFonts w:eastAsia="" w:cs="" w:cstheme="minorBidi" w:eastAsiaTheme="minorHAnsi"/>
                <w:sz w:val="20"/>
                <w:szCs w:val="20"/>
                <w:lang w:val="en-US"/>
              </w:rPr>
              <w:t>IP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-пакетов, содержащих атаку и возможность их экспорта в РСАР-файл для расследования и использования в качестве доказательной базы. Возможность передачи информации о зарегистрированных событиях в систему централизованного мониторинга </w:t>
            </w:r>
            <w:r>
              <w:rPr>
                <w:rFonts w:eastAsia="" w:cs="" w:cstheme="minorBidi" w:eastAsiaTheme="minorHAnsi"/>
                <w:sz w:val="20"/>
                <w:szCs w:val="20"/>
                <w:lang w:val="en-US"/>
              </w:rPr>
              <w:t>ViPNet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 </w:t>
            </w:r>
            <w:r>
              <w:rPr>
                <w:rFonts w:eastAsia="" w:cs="" w:cstheme="minorBidi" w:eastAsiaTheme="minorHAnsi"/>
                <w:sz w:val="20"/>
                <w:szCs w:val="20"/>
                <w:lang w:val="en-US"/>
              </w:rPr>
              <w:t>StateWatcher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b/>
                <w:sz w:val="20"/>
                <w:szCs w:val="20"/>
              </w:rPr>
              <w:t>Управление и анализ: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Интуитивно понятный русскоязычный графический интерфейс управления и мониторинга.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Уведомление администратора системы информационной безопасности о зарегистрированных событиях посредством электронной почты.</w:t>
            </w:r>
          </w:p>
          <w:p>
            <w:pPr>
              <w:pStyle w:val="Normal"/>
              <w:bidi w:val="0"/>
              <w:ind w:left="720" w:firstLine="709"/>
              <w:jc w:val="both"/>
              <w:rPr>
                <w:rFonts w:eastAsia="" w:cs="" w:cstheme="minorBidi" w:eastAsiaTheme="minorHAnsi"/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Аналитическая обработка и отображение обобщенной статистической информации о выявленных атаках.</w:t>
            </w:r>
          </w:p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rFonts w:eastAsia="" w:cs="" w:cstheme="minorBidi" w:eastAsiaTheme="minorHAnsi"/>
                <w:sz w:val="20"/>
                <w:szCs w:val="20"/>
              </w:rPr>
              <w:t xml:space="preserve">• 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 xml:space="preserve">Выборочный контроль трафика отдельных узлов сети по их </w:t>
            </w:r>
            <w:r>
              <w:rPr>
                <w:rFonts w:eastAsia="" w:cs="" w:cstheme="minorBidi" w:eastAsiaTheme="minorHAnsi"/>
                <w:sz w:val="20"/>
                <w:szCs w:val="20"/>
                <w:lang w:val="en-US"/>
              </w:rPr>
              <w:t>IP</w:t>
            </w:r>
            <w:r>
              <w:rPr>
                <w:rFonts w:eastAsia="" w:cs="" w:cstheme="minorBidi" w:eastAsiaTheme="minorHAnsi"/>
                <w:sz w:val="20"/>
                <w:szCs w:val="20"/>
              </w:rPr>
              <w:t>-адресам.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Программно-аппаратный комплекс шифрования </w:t>
            </w:r>
            <w:r>
              <w:rPr>
                <w:rFonts w:eastAsia="Calibri"/>
                <w:sz w:val="20"/>
                <w:szCs w:val="20"/>
                <w:lang w:val="en-US"/>
              </w:rPr>
              <w:t>ViPNet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HW</w:t>
            </w:r>
            <w:r>
              <w:rPr>
                <w:rFonts w:eastAsia="Calibri"/>
                <w:sz w:val="20"/>
                <w:szCs w:val="20"/>
              </w:rPr>
              <w:t>1000</w:t>
            </w:r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sz w:val="20"/>
                <w:szCs w:val="20"/>
              </w:rPr>
              <w:t xml:space="preserve"> 4.</w:t>
            </w:r>
            <w:r>
              <w:rPr>
                <w:rFonts w:eastAsia="Calibri"/>
                <w:sz w:val="20"/>
                <w:szCs w:val="20"/>
                <w:lang w:val="en-US"/>
              </w:rPr>
              <w:t>x</w:t>
            </w:r>
            <w:r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Совместимость с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VipNet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  <w:lang w:val="en-US"/>
              </w:rPr>
              <w:t>Administrator</w:t>
            </w: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, номер сети 1721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Высота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U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более 1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Количество портов со скоростью 10/100/1000 Гб/с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Не менее 6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3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4"/>
              <w:shd w:val="clear" w:color="auto" w:fill="FFFFFF"/>
              <w:bidi w:val="0"/>
              <w:spacing w:before="150" w:after="15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color w:val="auto"/>
                <w:sz w:val="20"/>
                <w:szCs w:val="20"/>
              </w:rPr>
              <w:t>Неограниченное количество туннелируемых адресов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</w:tc>
      </w:tr>
    </w:tbl>
    <w:p>
      <w:pPr>
        <w:pStyle w:val="Normal"/>
        <w:bidi w:val="0"/>
        <w:jc w:val="left"/>
        <w:rPr>
          <w:rFonts w:cs="" w:cstheme="minorBidi"/>
          <w:i/>
          <w:i/>
          <w:sz w:val="20"/>
        </w:rPr>
      </w:pPr>
      <w:bookmarkEnd w:id="0"/>
      <w:r>
        <w:rPr>
          <w:rFonts w:cs="" w:cstheme="minorBidi"/>
          <w:sz w:val="20"/>
          <w:szCs w:val="20"/>
        </w:rPr>
        <w:t>*</w:t>
      </w:r>
      <w:r>
        <w:rPr>
          <w:rFonts w:cs="" w:cstheme="minorBidi"/>
          <w:i/>
          <w:sz w:val="20"/>
          <w:szCs w:val="20"/>
        </w:rPr>
        <w:t>Не допускается предложение эквивалента в связи с необходимостью обеспечения взаимодействия такого оборудования и программного обеспечения с оборудованием и программным обеспечением, используемым Заказчиком для действующей системы защиты информации</w:t>
      </w:r>
    </w:p>
    <w:p>
      <w:pPr>
        <w:pStyle w:val="Normal"/>
        <w:bidi w:val="0"/>
        <w:jc w:val="left"/>
        <w:rPr>
          <w:lang w:eastAsia="en-US"/>
        </w:rPr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7982795"/>
    </w:sdtPr>
    <w:sdtContent>
      <w:p>
        <w:pPr>
          <w:pStyle w:val="Style17"/>
          <w:bidi w:val="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17"/>
          <w:bidi w:val="0"/>
          <w:jc w:val="lef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960"/>
      <w:numFmt w:val="bullet"/>
      <w:lvlText w:val="-"/>
      <w:lvlJc w:val="left"/>
      <w:pPr>
        <w:tabs>
          <w:tab w:val="num" w:pos="720"/>
        </w:tabs>
        <w:ind w:left="81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5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2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9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4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1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8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579" w:hanging="360"/>
      </w:pPr>
      <w:rPr>
        <w:rFonts w:ascii="Wingdings" w:hAnsi="Wingdings" w:cs="Wingdings" w:hint="default"/>
      </w:rPr>
    </w:lvl>
  </w:abstractNum>
  <w:abstractNum w:abstractNumId="5">
    <w:lvl w:ilvl="0">
      <w:start w:val="9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Cambria"/>
      <w:b/>
      <w:sz w:val="32"/>
    </w:rPr>
  </w:style>
  <w:style w:type="paragraph" w:styleId="2">
    <w:name w:val="Heading 2"/>
    <w:basedOn w:val="Normal"/>
    <w:next w:val="Normal"/>
    <w:qFormat/>
    <w:pPr>
      <w:widowControl w:val="false"/>
      <w:spacing w:before="120" w:after="120"/>
      <w:ind w:left="1418" w:hanging="851"/>
      <w:jc w:val="both"/>
      <w:outlineLvl w:val="1"/>
    </w:pPr>
    <w:rPr>
      <w:b/>
    </w:rPr>
  </w:style>
  <w:style w:type="paragraph" w:styleId="4">
    <w:name w:val="Heading 4"/>
    <w:basedOn w:val="Normal"/>
    <w:qFormat/>
    <w:pPr>
      <w:keepNext w:val="true"/>
      <w:keepLines/>
      <w:suppressAutoHyphens w:val="true"/>
      <w:spacing w:before="200" w:after="0"/>
      <w:outlineLvl w:val="3"/>
    </w:pPr>
    <w:rPr>
      <w:rFonts w:ascii="Cambria" w:hAnsi="Cambria" w:eastAsia="Calibri" w:cs="Tahoma"/>
      <w:b/>
      <w:bCs/>
      <w:i/>
      <w:iCs/>
      <w:color w:val="4F81BD"/>
      <w:kern w:val="2"/>
      <w:szCs w:val="2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4"/>
    </w:rPr>
  </w:style>
  <w:style w:type="paragraph" w:styleId="9">
    <w:name w:val="Обычный9"/>
    <w:qFormat/>
    <w:pPr>
      <w:widowControl w:val="false"/>
      <w:suppressAutoHyphens w:val="true"/>
      <w:bidi w:val="0"/>
      <w:spacing w:before="260" w:after="0"/>
      <w:jc w:val="both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8">
    <w:name w:val="_Основной с красной строки"/>
    <w:basedOn w:val="9"/>
    <w:qFormat/>
    <w:pPr>
      <w:widowControl/>
      <w:suppressAutoHyphens w:val="true"/>
      <w:spacing w:lineRule="exact" w:line="360" w:before="0" w:after="0"/>
      <w:ind w:firstLine="709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LibreOffice/6.4.5.2$Linux_X86_64 LibreOffice_project/40$Build-2</Application>
  <Pages>30</Pages>
  <Words>5029</Words>
  <Characters>35592</Characters>
  <CharactersWithSpaces>39862</CharactersWithSpaces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2020-10-13T10:18:25Z</dcterms:created>
  <dc:creator/>
  <dc:description/>
  <dc:language>ru-RU</dc:language>
  <cp:lastModifiedBy/>
  <dcterms:modified xsi:type="dcterms:W3CDTF">2020-10-13T10:50:48Z</dcterms:modified>
  <cp:revision>4</cp:revision>
  <dc:subject/>
  <dc:title/>
</cp:coreProperties>
</file>