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right"/>
        <w:rPr>
          <w:b/>
          <w:b/>
          <w:sz w:val="18"/>
          <w:szCs w:val="18"/>
          <w:lang w:val="ru-RU" w:eastAsia="ru-RU"/>
        </w:rPr>
      </w:pPr>
      <w:r>
        <w:rPr>
          <w:b/>
          <w:sz w:val="18"/>
          <w:szCs w:val="18"/>
          <w:lang w:val="ru-RU" w:eastAsia="ru-RU"/>
        </w:rPr>
        <w:t>ПРИЛОЖЕНИЕ № 2</w:t>
      </w:r>
    </w:p>
    <w:p>
      <w:pPr>
        <w:pStyle w:val="Normal"/>
        <w:shd w:fill="FFFFFF" w:val="clear"/>
        <w:jc w:val="right"/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 xml:space="preserve">к государственному контракту № ____________ </w:t>
      </w:r>
    </w:p>
    <w:p>
      <w:pPr>
        <w:pStyle w:val="Normal"/>
        <w:shd w:fill="FFFFFF" w:val="clear"/>
        <w:jc w:val="right"/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от «____» ___________ 2020г.</w:t>
      </w:r>
    </w:p>
    <w:p>
      <w:pPr>
        <w:pStyle w:val="Normal"/>
        <w:shd w:fill="FFFFFF" w:val="clear"/>
        <w:jc w:val="right"/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</w:r>
    </w:p>
    <w:p>
      <w:pPr>
        <w:pStyle w:val="Normal"/>
        <w:shd w:fill="FFFFFF" w:val="clear"/>
        <w:spacing w:lineRule="atLeast" w:line="57" w:before="240" w:after="0"/>
        <w:jc w:val="center"/>
        <w:rPr>
          <w:rFonts w:eastAsia="Liberation Serif;Times New Roman"/>
          <w:b/>
          <w:b/>
          <w:sz w:val="18"/>
          <w:szCs w:val="18"/>
          <w:lang w:val="ru-RU" w:eastAsia="ru-RU"/>
        </w:rPr>
      </w:pPr>
      <w:r>
        <w:rPr>
          <w:rFonts w:eastAsia="Liberation Serif;Times New Roman"/>
          <w:b/>
          <w:sz w:val="18"/>
          <w:szCs w:val="18"/>
          <w:lang w:val="ru-RU" w:eastAsia="ru-RU"/>
        </w:rPr>
        <w:t>ТЕХНИЧЕСКИЕ ТРЕБОВАНИЯ (КОМПЛЕКТАЦИЯ, ФУНКЦИОНАЛЬНЫЕ И ТЕХНИЧЕСКИЕ ХАРАКТЕРИСТИКИ ТОВАРА)</w:t>
      </w:r>
    </w:p>
    <w:p>
      <w:pPr>
        <w:pStyle w:val="Normal"/>
        <w:shd w:fill="FFFFFF" w:val="clear"/>
        <w:spacing w:lineRule="atLeast" w:line="57" w:before="240" w:after="0"/>
        <w:jc w:val="center"/>
        <w:rPr>
          <w:rFonts w:eastAsia="Liberation Serif;Times New Roman"/>
          <w:b/>
          <w:b/>
          <w:sz w:val="18"/>
          <w:szCs w:val="18"/>
          <w:lang w:val="ru-RU" w:eastAsia="ru-RU"/>
        </w:rPr>
      </w:pPr>
      <w:r>
        <w:rPr>
          <w:rFonts w:eastAsia="Liberation Serif;Times New Roman"/>
          <w:b/>
          <w:sz w:val="18"/>
          <w:szCs w:val="18"/>
          <w:lang w:val="ru-RU" w:eastAsia="ru-RU"/>
        </w:rPr>
      </w:r>
    </w:p>
    <w:tbl>
      <w:tblPr>
        <w:tblW w:w="10301" w:type="dxa"/>
        <w:jc w:val="left"/>
        <w:tblInd w:w="178" w:type="dxa"/>
        <w:tblBorders>
          <w:top w:val="single" w:sz="4" w:space="0" w:color="00000A"/>
          <w:left w:val="single" w:sz="6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35" w:type="dxa"/>
          <w:bottom w:w="0" w:type="dxa"/>
          <w:right w:w="0" w:type="dxa"/>
        </w:tblCellMar>
      </w:tblPr>
      <w:tblGrid>
        <w:gridCol w:w="694"/>
        <w:gridCol w:w="3984"/>
        <w:gridCol w:w="2693"/>
        <w:gridCol w:w="1388"/>
        <w:gridCol w:w="1542"/>
      </w:tblGrid>
      <w:tr>
        <w:trPr>
          <w:tblHeader w:val="true"/>
          <w:trHeight w:val="787" w:hRule="atLeast"/>
        </w:trPr>
        <w:tc>
          <w:tcPr>
            <w:tcW w:w="6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b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 xml:space="preserve">№ </w:t>
            </w:r>
            <w:r>
              <w:rPr>
                <w:b/>
                <w:bCs/>
                <w:sz w:val="18"/>
                <w:szCs w:val="18"/>
                <w:lang w:val="ru-RU" w:eastAsia="ru-RU"/>
              </w:rPr>
              <w:t>п/п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b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Наименование товара (с указанием марки, модели)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ОКПД 2 ОК 034-2014 (КПЕС 2008) или код позиции КТРУ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b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b/>
                <w:b/>
                <w:sz w:val="18"/>
                <w:szCs w:val="18"/>
                <w:lang w:val="ru-RU" w:eastAsia="ru-RU"/>
              </w:rPr>
            </w:pPr>
            <w:r>
              <w:rPr>
                <w:b/>
                <w:sz w:val="18"/>
                <w:szCs w:val="18"/>
                <w:lang w:val="ru-RU" w:eastAsia="ru-RU"/>
              </w:rPr>
              <w:t>Кол-во</w:t>
            </w:r>
          </w:p>
        </w:tc>
      </w:tr>
      <w:tr>
        <w:trPr>
          <w:trHeight w:val="48" w:hRule="atLeast"/>
        </w:trPr>
        <w:tc>
          <w:tcPr>
            <w:tcW w:w="6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Системный блок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26.20.15.000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Штука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279</w:t>
            </w:r>
          </w:p>
        </w:tc>
      </w:tr>
      <w:tr>
        <w:trPr>
          <w:trHeight w:val="48" w:hRule="atLeast"/>
        </w:trPr>
        <w:tc>
          <w:tcPr>
            <w:tcW w:w="6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Системный блок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26.20.15.000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Штука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415</w:t>
            </w:r>
          </w:p>
        </w:tc>
      </w:tr>
      <w:tr>
        <w:trPr>
          <w:trHeight w:val="48" w:hRule="atLeast"/>
        </w:trPr>
        <w:tc>
          <w:tcPr>
            <w:tcW w:w="6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Монитор, подключаемый к компьютеру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26.20.17.110-00000011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Штука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694</w:t>
            </w:r>
          </w:p>
        </w:tc>
      </w:tr>
      <w:tr>
        <w:trPr>
          <w:trHeight w:val="48" w:hRule="atLeast"/>
        </w:trPr>
        <w:tc>
          <w:tcPr>
            <w:tcW w:w="6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Клавиатура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26.20.16.110-00000002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Штука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694</w:t>
            </w:r>
          </w:p>
        </w:tc>
      </w:tr>
      <w:tr>
        <w:trPr>
          <w:trHeight w:val="48" w:hRule="atLeast"/>
        </w:trPr>
        <w:tc>
          <w:tcPr>
            <w:tcW w:w="6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bCs/>
                <w:sz w:val="18"/>
                <w:szCs w:val="18"/>
                <w:lang w:val="ru-RU" w:eastAsia="ru-RU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Мышь компьютерная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26.20.16.170-00000002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Штука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694</w:t>
            </w:r>
          </w:p>
        </w:tc>
      </w:tr>
      <w:tr>
        <w:trPr>
          <w:trHeight w:val="48" w:hRule="atLeast"/>
        </w:trPr>
        <w:tc>
          <w:tcPr>
            <w:tcW w:w="6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Источник бесперебойного питания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26.20.40.110-00000009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Штука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694</w:t>
            </w:r>
          </w:p>
        </w:tc>
      </w:tr>
      <w:tr>
        <w:trPr>
          <w:trHeight w:val="48" w:hRule="atLeast"/>
        </w:trPr>
        <w:tc>
          <w:tcPr>
            <w:tcW w:w="69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Фильтр сетевой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26.20.40.190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Штука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4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694</w:t>
            </w:r>
          </w:p>
        </w:tc>
      </w:tr>
    </w:tbl>
    <w:p>
      <w:pPr>
        <w:pStyle w:val="Normal"/>
        <w:jc w:val="both"/>
        <w:rPr>
          <w:rFonts w:eastAsia="Liberation Serif;Times New Roman"/>
          <w:b/>
          <w:b/>
          <w:bCs/>
          <w:sz w:val="18"/>
          <w:szCs w:val="18"/>
          <w:lang w:val="ru-RU" w:eastAsia="ru-RU"/>
        </w:rPr>
      </w:pPr>
      <w:r>
        <w:rPr>
          <w:rFonts w:eastAsia="Liberation Serif;Times New Roman"/>
          <w:b/>
          <w:bCs/>
          <w:sz w:val="18"/>
          <w:szCs w:val="18"/>
          <w:lang w:val="ru-RU" w:eastAsia="ru-RU"/>
        </w:rPr>
      </w:r>
    </w:p>
    <w:p>
      <w:pPr>
        <w:pStyle w:val="Normal"/>
        <w:jc w:val="both"/>
        <w:rPr/>
      </w:pPr>
      <w:r>
        <w:rPr>
          <w:rFonts w:eastAsia="Liberation Serif;Times New Roman"/>
          <w:b/>
          <w:bCs/>
          <w:sz w:val="18"/>
          <w:szCs w:val="18"/>
          <w:lang w:val="ru-RU" w:eastAsia="ru-RU"/>
        </w:rPr>
        <w:t xml:space="preserve">Общие требования: </w:t>
      </w:r>
      <w:r>
        <w:rPr>
          <w:rFonts w:eastAsia="Liberation Serif;Times New Roman"/>
          <w:sz w:val="18"/>
          <w:szCs w:val="18"/>
          <w:lang w:val="ru-RU" w:eastAsia="ru-RU"/>
        </w:rPr>
        <w:t>Поставляемое компьютерное оборудование со средствами защиты информации предназначено для организации работы медицинского персонала учреждений здравоохранения Республики Алтай в региональном сегменте Единой государственной информационной системы в сфере здравоохранения (РС ЕГИСЗ) и должно быть совместимо с существующей у Заказчика системой управления и эксплуатацией, и системой информационной безопасности. Программное обеспечение в составе системного блока должно быть установлено и настроено для работы в медицинской информационной системе Заказчика. Установка и настройка средств защиты информации, поставляемых в рамках исполнения обязательств по контракту, должна выполнена в соответствии с требованиями руководящих документов ФСТЭК России.</w:t>
      </w:r>
    </w:p>
    <w:p>
      <w:pPr>
        <w:pStyle w:val="Normal"/>
        <w:spacing w:before="0" w:after="120"/>
        <w:jc w:val="both"/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Установка и настройка средств защиты информации должна включать:</w:t>
      </w:r>
    </w:p>
    <w:p>
      <w:pPr>
        <w:pStyle w:val="Normal"/>
        <w:spacing w:before="0" w:after="120"/>
        <w:jc w:val="both"/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установку и настройку программного модуля доверенной загрузки: -проведение испытаний совместимости с аппаратной платформой; -установка программного модуля доверенной загрузки; -настройка служебных параметров в соответствии с требованиями руководящих документов ФСТЭК России; -создание пользователей;- настройка пользователей; -тестирование корректности установки и настройки программного модуля доверенной загрузки.</w:t>
      </w:r>
    </w:p>
    <w:p>
      <w:pPr>
        <w:pStyle w:val="Normal"/>
        <w:spacing w:before="0" w:after="120"/>
        <w:jc w:val="both"/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установку и настройку средства защиты информации от несанкционированного доступа: -проведение испытаний совместимости с операционной системой; -установка Средство защиты информации от несанкционированного доступа; -настройка служебных параметров в соответствии с требования руководящих документов ФСТЭК России; -создание пользователей; -настройка пользователей; -настройка подсистем регистрации и учета; -настройка зачистки информации; -настройка контроля целостности; -тестирование корректности установки и настройки.</w:t>
      </w:r>
    </w:p>
    <w:p>
      <w:pPr>
        <w:pStyle w:val="Normal"/>
        <w:spacing w:before="0" w:after="120"/>
        <w:jc w:val="both"/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  <w:t>Установка и наладка средств защиты информации в составе системного блока должна производиться специализированной организацией, имеющей право на работы по технической защите конфиденциальной информации.</w:t>
      </w:r>
    </w:p>
    <w:p>
      <w:pPr>
        <w:pStyle w:val="Normal"/>
        <w:widowControl w:val="false"/>
        <w:suppressAutoHyphens w:val="true"/>
        <w:jc w:val="both"/>
        <w:rPr>
          <w:rFonts w:eastAsia="Calibri"/>
          <w:sz w:val="18"/>
          <w:szCs w:val="18"/>
          <w:lang w:val="ru-RU" w:eastAsia="ru-RU"/>
        </w:rPr>
      </w:pPr>
      <w:r>
        <w:rPr>
          <w:rFonts w:eastAsia="Calibri"/>
          <w:sz w:val="18"/>
          <w:szCs w:val="18"/>
          <w:lang w:val="ru-RU" w:eastAsia="ru-RU"/>
        </w:rPr>
        <w:t xml:space="preserve">Поставщик в течении 5 (пяти) календарных дней с даты заключения Контракта должен предоставить Заказчику: </w:t>
      </w:r>
    </w:p>
    <w:p>
      <w:pPr>
        <w:pStyle w:val="Normal"/>
        <w:widowControl w:val="false"/>
        <w:suppressAutoHyphens w:val="true"/>
        <w:jc w:val="both"/>
        <w:rPr/>
      </w:pPr>
      <w:r>
        <w:rPr>
          <w:sz w:val="18"/>
          <w:szCs w:val="18"/>
          <w:lang w:val="ru-RU" w:eastAsia="ru-RU"/>
        </w:rPr>
        <w:t xml:space="preserve">Копию действующей лицензии ФСТЭК России на осуществление деятельности по технической защите конфиденциальной информации (согласно п.5 ч.1 статьи 12 Федерального закона от 04.05.2011 №99-ФЗ «О лицензировании отдельных видов деятельности», Постановления Правительства Российской Федерации от 03.02.2012 г. № 79 «О лицензировании деятельности по технической защите конфиденциальной информации» (пп. е п. 4  - </w:t>
      </w:r>
      <w:r>
        <w:rPr>
          <w:rFonts w:eastAsia="Arial"/>
          <w:sz w:val="18"/>
          <w:szCs w:val="18"/>
          <w:lang w:val="ru-RU" w:eastAsia="ru-RU"/>
        </w:rPr>
        <w:t>услуги по установке, монтажу, наладке, испытаниям, ремонту средств защиты информации (технических средств защиты информации, защищенных технических средств обработки информации, технических средств контроля эффективности мер защиты информации, программных (программно-технических) средств защиты информации, защищенных программных (программно-технических) средств обработки информации, программных (программно-технических) средств контроля эффективности защиты информации).</w:t>
      </w:r>
      <w:r>
        <w:rPr>
          <w:sz w:val="18"/>
          <w:szCs w:val="18"/>
          <w:lang w:val="ru-RU" w:eastAsia="ru-RU"/>
        </w:rPr>
        <w:t xml:space="preserve">)), выданной Исполнителю, или партнерское соглашение (договор) с соисполнителем, имеющим вышеуказанную лицензию, с приложением её копии. </w:t>
      </w:r>
    </w:p>
    <w:p>
      <w:pPr>
        <w:pStyle w:val="Normal"/>
        <w:widowControl w:val="false"/>
        <w:suppressAutoHyphens w:val="true"/>
        <w:jc w:val="both"/>
        <w:rPr/>
      </w:pPr>
      <w:r>
        <w:rPr>
          <w:rFonts w:eastAsia="Liberation Serif;Times New Roman"/>
          <w:color w:val="000000"/>
          <w:sz w:val="18"/>
          <w:szCs w:val="18"/>
          <w:lang w:val="ru-RU" w:eastAsia="ru-RU"/>
        </w:rPr>
        <w:t>Копию де</w:t>
      </w:r>
      <w:r>
        <w:rPr>
          <w:rFonts w:eastAsia="Liberation Serif;Times New Roman"/>
          <w:sz w:val="18"/>
          <w:szCs w:val="18"/>
          <w:lang w:val="ru-RU" w:eastAsia="ru-RU"/>
        </w:rPr>
        <w:t>йствующего сертификата соответствия ФСТЭК России, подтверждающего возможность использования Средства защиты информации от несанкционированного доступа:</w:t>
      </w:r>
    </w:p>
    <w:p>
      <w:pPr>
        <w:pStyle w:val="Normal"/>
        <w:shd w:fill="FFFFFF" w:val="clear"/>
        <w:rPr>
          <w:rFonts w:eastAsia="Liberation Serif;Times New Roman"/>
          <w:sz w:val="18"/>
          <w:szCs w:val="18"/>
          <w:lang w:val="ru-RU" w:eastAsia="ru-RU"/>
        </w:rPr>
      </w:pPr>
      <w:r>
        <w:rPr>
          <w:rFonts w:eastAsia="Liberation Serif;Times New Roman"/>
          <w:sz w:val="18"/>
          <w:szCs w:val="18"/>
          <w:lang w:val="ru-RU" w:eastAsia="ru-RU"/>
        </w:rPr>
        <w:t>- в государственных информационных системах до 2 класса защищенности включительно;</w:t>
      </w:r>
    </w:p>
    <w:p>
      <w:pPr>
        <w:pStyle w:val="Normal"/>
        <w:jc w:val="both"/>
        <w:rPr>
          <w:rFonts w:eastAsia="Liberation Serif;Times New Roman"/>
          <w:sz w:val="18"/>
          <w:szCs w:val="18"/>
          <w:lang w:val="ru-RU" w:eastAsia="ru-RU"/>
        </w:rPr>
      </w:pPr>
      <w:r>
        <w:rPr>
          <w:rFonts w:eastAsia="Liberation Serif;Times New Roman"/>
          <w:sz w:val="18"/>
          <w:szCs w:val="18"/>
          <w:lang w:val="ru-RU" w:eastAsia="ru-RU"/>
        </w:rPr>
        <w:t>- в информационных системах персональных данных до 2 уровня защищенности включительно</w:t>
      </w:r>
    </w:p>
    <w:p>
      <w:pPr>
        <w:pStyle w:val="Normal"/>
        <w:jc w:val="both"/>
        <w:rPr/>
      </w:pPr>
      <w:r>
        <w:rPr>
          <w:rFonts w:eastAsia="Calibri"/>
          <w:sz w:val="18"/>
          <w:szCs w:val="18"/>
          <w:lang w:val="ru-RU" w:eastAsia="ru-RU"/>
        </w:rPr>
        <w:t xml:space="preserve">Копию действующего сертификата соответствия ФСТЭК России, подтверждающего </w:t>
      </w:r>
      <w:r>
        <w:rPr>
          <w:sz w:val="18"/>
          <w:szCs w:val="18"/>
          <w:lang w:val="ru-RU" w:eastAsia="ru-RU"/>
        </w:rPr>
        <w:t>возможность использования мо</w:t>
      </w:r>
      <w:r>
        <w:rPr>
          <w:rFonts w:eastAsia="Liberation Serif;Times New Roman"/>
          <w:sz w:val="18"/>
          <w:szCs w:val="18"/>
          <w:lang w:val="ru-RU" w:eastAsia="ru-RU"/>
        </w:rPr>
        <w:t>дуля доверенной загрузки:</w:t>
      </w:r>
    </w:p>
    <w:p>
      <w:pPr>
        <w:pStyle w:val="Normal"/>
        <w:numPr>
          <w:ilvl w:val="0"/>
          <w:numId w:val="1"/>
        </w:numPr>
        <w:shd w:fill="FFFFFF" w:val="clear"/>
        <w:ind w:left="720" w:right="135" w:hanging="360"/>
        <w:rPr/>
      </w:pPr>
      <w:r>
        <w:rPr>
          <w:sz w:val="18"/>
          <w:szCs w:val="18"/>
          <w:lang w:val="ru-RU" w:eastAsia="ru-RU"/>
        </w:rPr>
        <w:t xml:space="preserve"> </w:t>
      </w:r>
      <w:r>
        <w:rPr>
          <w:rFonts w:eastAsia="Liberation Serif;Times New Roman"/>
          <w:sz w:val="18"/>
          <w:szCs w:val="18"/>
          <w:lang w:val="ru-RU" w:eastAsia="ru-RU"/>
        </w:rPr>
        <w:t>в государственных информационных системах до 2 класса защищенности включительно;</w:t>
      </w:r>
    </w:p>
    <w:p>
      <w:pPr>
        <w:pStyle w:val="Normal"/>
        <w:numPr>
          <w:ilvl w:val="0"/>
          <w:numId w:val="1"/>
        </w:numPr>
        <w:jc w:val="both"/>
        <w:rPr>
          <w:rFonts w:eastAsia="Liberation Serif;Times New Roman"/>
          <w:sz w:val="18"/>
          <w:szCs w:val="18"/>
          <w:lang w:val="ru-RU" w:eastAsia="ru-RU"/>
        </w:rPr>
      </w:pPr>
      <w:r>
        <w:rPr>
          <w:rFonts w:eastAsia="Liberation Serif;Times New Roman"/>
          <w:sz w:val="18"/>
          <w:szCs w:val="18"/>
          <w:lang w:val="ru-RU" w:eastAsia="ru-RU"/>
        </w:rPr>
        <w:t>в информационных системах персональных данных до 2 уровня защищенности включительно.</w:t>
      </w:r>
    </w:p>
    <w:p>
      <w:pPr>
        <w:pStyle w:val="Normal"/>
        <w:jc w:val="both"/>
        <w:rPr>
          <w:rFonts w:eastAsia="Liberation Serif;Times New Roman"/>
          <w:sz w:val="18"/>
          <w:szCs w:val="18"/>
          <w:lang w:val="ru-RU" w:eastAsia="ru-RU"/>
        </w:rPr>
      </w:pPr>
      <w:r>
        <w:rPr>
          <w:rFonts w:eastAsia="Liberation Serif;Times New Roman"/>
          <w:sz w:val="18"/>
          <w:szCs w:val="18"/>
          <w:lang w:val="ru-RU" w:eastAsia="ru-RU"/>
        </w:rPr>
      </w:r>
    </w:p>
    <w:p>
      <w:pPr>
        <w:pStyle w:val="Normal"/>
        <w:shd w:fill="FFFFFF" w:val="clear"/>
        <w:tabs>
          <w:tab w:val="left" w:pos="851" w:leader="none"/>
          <w:tab w:val="left" w:pos="993" w:leader="none"/>
          <w:tab w:val="left" w:pos="1134" w:leader="none"/>
        </w:tabs>
        <w:ind w:right="142" w:hanging="0"/>
        <w:jc w:val="both"/>
        <w:rPr/>
      </w:pPr>
      <w:r>
        <w:rPr>
          <w:rFonts w:eastAsia="Liberation Serif;Times New Roman"/>
          <w:b/>
          <w:color w:val="000000"/>
          <w:sz w:val="18"/>
          <w:szCs w:val="18"/>
          <w:lang w:val="ru-RU" w:eastAsia="ru-RU"/>
        </w:rPr>
        <w:t>Сроки поставки товара или завершения работы либо график оказания услуг</w:t>
      </w:r>
      <w:r>
        <w:rPr>
          <w:rFonts w:eastAsia="Liberation Serif;Times New Roman"/>
          <w:color w:val="000000"/>
          <w:sz w:val="18"/>
          <w:szCs w:val="18"/>
          <w:lang w:val="ru-RU" w:eastAsia="ru-RU"/>
        </w:rPr>
        <w:t>: Поставка должна быть осуществлена в полном объеме в течение 60 рабочих дней с момента заключения Контракта</w:t>
      </w:r>
      <w:r>
        <w:rPr>
          <w:rFonts w:eastAsia="Calibri"/>
          <w:color w:val="00000A"/>
          <w:sz w:val="18"/>
          <w:szCs w:val="18"/>
          <w:lang w:val="ru-RU" w:eastAsia="ru-RU" w:bidi="hi-IN"/>
        </w:rPr>
        <w:t xml:space="preserve"> по адресу Получателей товара согласно Приложения №4 к настоящему контракту. </w:t>
      </w:r>
      <w:r>
        <w:rPr>
          <w:rFonts w:eastAsia="Liberation Serif;Times New Roman"/>
          <w:color w:val="000000"/>
          <w:sz w:val="18"/>
          <w:szCs w:val="18"/>
          <w:lang w:val="ru-RU" w:eastAsia="ru-RU"/>
        </w:rPr>
        <w:t xml:space="preserve"> </w:t>
      </w:r>
    </w:p>
    <w:p>
      <w:pPr>
        <w:pStyle w:val="Normal"/>
        <w:shd w:fill="FFFFFF" w:val="clear"/>
        <w:tabs>
          <w:tab w:val="left" w:pos="851" w:leader="none"/>
          <w:tab w:val="left" w:pos="993" w:leader="none"/>
          <w:tab w:val="left" w:pos="1134" w:leader="none"/>
        </w:tabs>
        <w:ind w:right="142" w:hanging="0"/>
        <w:jc w:val="both"/>
        <w:rPr/>
      </w:pPr>
      <w:r>
        <w:rPr>
          <w:rFonts w:eastAsia="Calibri"/>
          <w:color w:val="00000A"/>
          <w:sz w:val="18"/>
          <w:szCs w:val="18"/>
          <w:lang w:val="ru-RU" w:eastAsia="ru-RU" w:bidi="hi-IN"/>
        </w:rPr>
        <w:t xml:space="preserve">Поставщик за 5 рабочих дней до осуществления поставки Товара направляет </w:t>
      </w:r>
      <w:r>
        <w:rPr>
          <w:rFonts w:eastAsia="Noto Sans CJK SC Regular;Times"/>
          <w:color w:val="00000A"/>
          <w:sz w:val="18"/>
          <w:szCs w:val="18"/>
          <w:lang w:val="ru-RU" w:eastAsia="ru-RU" w:bidi="hi-IN"/>
        </w:rPr>
        <w:t xml:space="preserve">Заказчику уведомление о дате фактической передачи Товара, по адресу электронной почты, либо с использованием иных средств связи и доставки, обеспечивающих фиксирование такого уведомления и получение Поставщиком подтверждения о его вручении Заказчику и Получателю. </w:t>
      </w:r>
    </w:p>
    <w:p>
      <w:pPr>
        <w:pStyle w:val="Normal"/>
        <w:shd w:fill="FFFFFF" w:val="clear"/>
        <w:tabs>
          <w:tab w:val="left" w:pos="851" w:leader="none"/>
          <w:tab w:val="left" w:pos="993" w:leader="none"/>
          <w:tab w:val="left" w:pos="1134" w:leader="none"/>
        </w:tabs>
        <w:spacing w:lineRule="atLeast" w:line="57" w:before="240" w:after="0"/>
        <w:ind w:right="-2" w:hanging="0"/>
        <w:jc w:val="both"/>
        <w:rPr/>
      </w:pPr>
      <w:r>
        <w:rPr>
          <w:rFonts w:eastAsia="Liberation Serif;Times New Roman"/>
          <w:b/>
          <w:color w:val="000000"/>
          <w:sz w:val="18"/>
          <w:szCs w:val="18"/>
          <w:lang w:val="ru-RU" w:eastAsia="ru-RU"/>
        </w:rPr>
        <w:t>Требования к гарантийному сроку и (или) объему предоставления гарантий качества товара, работы, услуги:</w:t>
      </w:r>
      <w:r>
        <w:rPr>
          <w:rFonts w:eastAsia="Liberation Serif;Times New Roman"/>
          <w:color w:val="000000"/>
          <w:sz w:val="18"/>
          <w:szCs w:val="18"/>
          <w:lang w:val="ru-RU" w:eastAsia="ru-RU"/>
        </w:rPr>
        <w:t xml:space="preserve"> Гарантийный срок на поставляемое оборудование составляет 36 месяцев и исчисляется с момента подписания Сторонами акта приема-передачи товара и распространяется на весь поставленный объем.</w:t>
      </w:r>
    </w:p>
    <w:p>
      <w:pPr>
        <w:sectPr>
          <w:type w:val="nextPage"/>
          <w:pgSz w:w="11906" w:h="16838"/>
          <w:pgMar w:left="567" w:right="566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jc w:val="both"/>
        <w:rPr/>
      </w:pPr>
      <w:r>
        <w:rPr>
          <w:rFonts w:eastAsia="Liberation Serif;Times New Roman"/>
          <w:color w:val="000000"/>
          <w:sz w:val="18"/>
          <w:szCs w:val="18"/>
          <w:lang w:val="ru-RU" w:eastAsia="ru-RU"/>
        </w:rPr>
        <w:t xml:space="preserve">Поставщик гарантирует, что все средства защиты информации, поставляемые в рамках исполнения обязательств по контракту, установлены и настроены в соответствии с требованиями руководящих документов ФСТЭК России. В случае сбоев в работе средств защиты информации, произошедших по вине Поставщика, Поставщик гарантирует что в течение всего гарантийного срока, при необходимости Поставщиком либо </w:t>
      </w:r>
      <w:r>
        <w:rPr>
          <w:sz w:val="18"/>
          <w:szCs w:val="18"/>
          <w:lang w:val="ru-RU" w:eastAsia="ru-RU"/>
        </w:rPr>
        <w:t xml:space="preserve">субподрядной организацией, </w:t>
      </w:r>
      <w:r>
        <w:rPr>
          <w:rFonts w:eastAsia="Liberation Serif;Times New Roman"/>
          <w:color w:val="000000"/>
          <w:sz w:val="18"/>
          <w:szCs w:val="18"/>
          <w:lang w:val="ru-RU" w:eastAsia="ru-RU"/>
        </w:rPr>
        <w:t xml:space="preserve">будет произведена установка и наладка средств защиты информации. Работы должны быть проведены в течении 5 (пяти) рабочих дней, с момента обращения Заказчика, по адресу Республика Алтай, г.Горно-Алтайск, пр.Коммунистический,54 в соответствии с требованиями руководящих документов ФСТЭК России. </w:t>
      </w:r>
    </w:p>
    <w:p>
      <w:pPr>
        <w:pStyle w:val="Normal"/>
        <w:shd w:fill="FFFFFF" w:val="clear"/>
        <w:rPr>
          <w:b/>
          <w:b/>
          <w:caps/>
          <w:sz w:val="18"/>
          <w:szCs w:val="18"/>
          <w:lang w:val="ru-RU" w:eastAsia="ru-RU"/>
        </w:rPr>
      </w:pPr>
      <w:r>
        <w:rPr>
          <w:b/>
          <w:caps/>
          <w:sz w:val="18"/>
          <w:szCs w:val="18"/>
          <w:lang w:val="ru-RU" w:eastAsia="ru-RU"/>
        </w:rPr>
      </w:r>
    </w:p>
    <w:p>
      <w:pPr>
        <w:pStyle w:val="Normal"/>
        <w:shd w:fill="FFFFFF" w:val="clear"/>
        <w:jc w:val="center"/>
        <w:rPr>
          <w:rFonts w:eastAsia="Liberation Serif;Times New Roman"/>
          <w:b/>
          <w:b/>
          <w:bCs/>
          <w:sz w:val="18"/>
          <w:szCs w:val="18"/>
          <w:lang w:val="ru-RU" w:eastAsia="ru-RU"/>
        </w:rPr>
      </w:pPr>
      <w:r>
        <w:rPr>
          <w:rFonts w:eastAsia="Liberation Serif;Times New Roman"/>
          <w:b/>
          <w:bCs/>
          <w:sz w:val="18"/>
          <w:szCs w:val="18"/>
          <w:lang w:val="ru-RU" w:eastAsia="ru-RU"/>
        </w:rPr>
        <w:t>Функциональные, технические и качественные характеристики товара, работы, услуги, эксплуатационные характеристики товара, результата работы, услуги (при необходимости),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 максимальные и (или) минимальные значения показателей товара и показатели, значения которых не могут изменяться</w:t>
      </w:r>
    </w:p>
    <w:p>
      <w:pPr>
        <w:pStyle w:val="Normal"/>
        <w:shd w:fill="FFFFFF" w:val="clear"/>
        <w:jc w:val="right"/>
        <w:rPr>
          <w:rFonts w:eastAsia="Liberation Serif;Times New Roman"/>
          <w:sz w:val="18"/>
          <w:szCs w:val="18"/>
          <w:lang w:val="ru-RU" w:eastAsia="ru-RU"/>
        </w:rPr>
      </w:pPr>
      <w:r>
        <w:rPr>
          <w:rFonts w:eastAsia="Liberation Serif;Times New Roman"/>
          <w:sz w:val="18"/>
          <w:szCs w:val="18"/>
          <w:lang w:val="ru-RU" w:eastAsia="ru-RU"/>
        </w:rPr>
        <w:t>Таблица № 1.</w:t>
      </w:r>
    </w:p>
    <w:tbl>
      <w:tblPr>
        <w:tblW w:w="15202" w:type="dxa"/>
        <w:jc w:val="left"/>
        <w:tblInd w:w="-246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0" w:type="dxa"/>
          <w:left w:w="38" w:type="dxa"/>
          <w:bottom w:w="0" w:type="dxa"/>
          <w:right w:w="0" w:type="dxa"/>
        </w:tblCellMar>
      </w:tblPr>
      <w:tblGrid>
        <w:gridCol w:w="378"/>
        <w:gridCol w:w="1678"/>
        <w:gridCol w:w="2764"/>
        <w:gridCol w:w="786"/>
        <w:gridCol w:w="4083"/>
        <w:gridCol w:w="1496"/>
        <w:gridCol w:w="1622"/>
        <w:gridCol w:w="2395"/>
      </w:tblGrid>
      <w:tr>
        <w:trPr>
          <w:trHeight w:val="2548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Наименование</w:t>
              <w:br/>
              <w:t xml:space="preserve">товара, его количество </w:t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Наименование показателя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товара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Ед. изм.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Значение показателя товара, которое не может изменяться участником закупки при подаче заявки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Значение показателя товара, 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при определении которого участником закупки используются только точные цифровые или иные параметры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Значение показателя товара,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при определении которого участником закупки могут не использоваться точные цифровые или иные параметры</w:t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Обоснование характеристик, запрошенных дополнительно к стандартным по КТРУ</w:t>
            </w:r>
          </w:p>
          <w:p>
            <w:pPr>
              <w:pStyle w:val="Normal"/>
              <w:shd w:fill="FFFFFF" w:val="clear"/>
              <w:tabs>
                <w:tab w:val="left" w:pos="1886" w:leader="none"/>
              </w:tabs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70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center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8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Системный блок, 279 штук</w:t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Материал стенок корпуса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Сталь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повышения надежности</w:t>
            </w:r>
          </w:p>
        </w:tc>
      </w:tr>
      <w:tr>
        <w:trPr>
          <w:trHeight w:val="578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Толщина стенок корпуса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мм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0,6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надежной шумоизоляции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Мощность блока питания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≤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работоспособности всех компонентов системного блока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Крепление VESA 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удобства размещения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Габариты (ШхВхГ)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мм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≤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97x240x250 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удобства размещения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Физическая энергонезависимая блокировка доступа к внутренним компонентам системного блока с ключевым доступом без использования навесных снимаемых замков.</w:t>
              <w:br/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повышения надежности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Блокировка самопроизвольной отстыковки кабеля  электропитания 220 В.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повышения надежности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Электромеханическое устройство, обеспечивающее защиту от несанкционированного включения ПК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Выключатель с ключом на лицевой панели (не должно занимать отсеков 5,25 и 3,5 дюйма)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повышения надежности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Тактовая частота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Мгц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18"/>
                <w:szCs w:val="18"/>
                <w:lang w:val="ru-RU" w:eastAsia="ru-RU"/>
              </w:rPr>
              <w:t>≥</w:t>
            </w:r>
            <w:r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высокой производительности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Объем кэша L3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Кб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&gt;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 6000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высокой производительности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ядер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>≥</w:t>
            </w:r>
            <w:r>
              <w:rPr>
                <w:color w:val="000000"/>
                <w:sz w:val="18"/>
                <w:szCs w:val="18"/>
                <w:lang w:val="ru-RU" w:eastAsia="zh-CN" w:bidi="hi-IN"/>
              </w:rPr>
              <w:t xml:space="preserve">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zh-CN" w:bidi="hi-IN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высокой производительности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потоков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высокой производительности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Встроенная графическая система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обработки графической информации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Система охлаждения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защиты от перегрева процессора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Оперативная память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модулей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работоспособности системного блока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Объем оперативной памяти 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Гб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нужд заказчика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Частота оперативной памяти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Мгц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Частота, обеспечивающая наименьшее энергопотребление и тепловыделение из производимых на данный момент типов памяти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DDR4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поддержания высокой производительности работы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Накопитель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Тип накопителя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SSD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нужд заказчика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Объем SSD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Гб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нужд заказчика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Системная плата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слотов памяти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установки оперативной памяти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слотов расширения PCI-E x16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установки плат расширения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Сеть 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Мбит/с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подключения к локальной сети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портов USB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подключения устройств ввода/вывода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Интерфейсы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DVI, HDMI, DisplayPort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подключения устройств ввода/вывода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Отсек для установки привода оптических дисков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возможности установки привода оптических дисков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Система контроля несанкционированного перемещения корпуса системного блока,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фиксирующая факт изменения местоположения корпуса при его отклонении от точки установки не более чем на 2 см в трех плоскостях.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 целях предотвращения хищения информации и оборудования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Функции звукового оповещения о факте несанкционированного перемещения корпуса системного блока.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 целях предотвращения хищения информации и оборудования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Программный модуль доверенной загрузки (ПМДЗ)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Функциональные требования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представлять собой программное средство, которое встраивается в базовую систему ввода-вывода (BIOS) и осуществляет блокирование попыток несанкционированной загрузки нештатной операционной системы, предоставляет доступ к информационным ресурсам в случае успешной проверки подлинности загружаемой операционной системы и прав на основе идентификации и аутентификации пользователя.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 должен обеспечивать контроль завершенности транзакций в журналах файловых систем EXT3, EXT4 и контроль программных прерываний системного режима управления (SMI)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иметь возможность задать настройки сессии аутентификации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иметь возможность обеспечения загрузки корневых сертификатов и списка отзыва сертификатов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иметь возможность импорта и экспорта настроек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вести аудит действий пользователя и администратора. Все события должны записывать в журнал. Режимы ведения журнала: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Внутренний, циклический;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Внутренний, экспортируемый;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ind w:left="107" w:right="135" w:hanging="36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Внешний (на диске).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обеспечивать защиту BIOS от перезаписи, чтения и от изменения EFI-переменных.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Активация/деактивация ПМДЗ должна осуществляться программно, без механических операций вскрытия и установки/извлечения компонентов. 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Обновление ПМДЗ должно производиться программно, из меню настроек замка.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построения системы защиты информации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Требования к обеспечению контроля целостности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ПМДЗ должен обеспечивать контроль целостности, следующих компонентов: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образа BIOS и программного обеспечения ПМДЗ;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файлов на файловых системах: </w:t>
            </w:r>
            <w:r>
              <w:rPr>
                <w:sz w:val="18"/>
                <w:szCs w:val="18"/>
                <w:lang w:eastAsia="ru-RU"/>
              </w:rPr>
              <w:t>EXT</w:t>
            </w:r>
            <w:r>
              <w:rPr>
                <w:sz w:val="18"/>
                <w:szCs w:val="18"/>
                <w:lang w:val="ru-RU" w:eastAsia="ru-RU"/>
              </w:rPr>
              <w:t xml:space="preserve">2, </w:t>
            </w:r>
            <w:r>
              <w:rPr>
                <w:sz w:val="18"/>
                <w:szCs w:val="18"/>
                <w:lang w:eastAsia="ru-RU"/>
              </w:rPr>
              <w:t>EXT</w:t>
            </w:r>
            <w:r>
              <w:rPr>
                <w:sz w:val="18"/>
                <w:szCs w:val="18"/>
                <w:lang w:val="ru-RU" w:eastAsia="ru-RU"/>
              </w:rPr>
              <w:t xml:space="preserve">3, </w:t>
            </w:r>
            <w:r>
              <w:rPr>
                <w:sz w:val="18"/>
                <w:szCs w:val="18"/>
                <w:lang w:eastAsia="ru-RU"/>
              </w:rPr>
              <w:t>EXT</w:t>
            </w:r>
            <w:r>
              <w:rPr>
                <w:sz w:val="18"/>
                <w:szCs w:val="18"/>
                <w:lang w:val="ru-RU" w:eastAsia="ru-RU"/>
              </w:rPr>
              <w:t xml:space="preserve">4;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MBR на носителях информации;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таблиц ACPI;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таблиц SMBIOS;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карты распределения памяти;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ресурсов конфигурационного пространства PCI/PCIe;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ind w:left="107" w:right="135" w:hanging="36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контроль целостности CMOS (содержимого энергонезависимой памяти).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построения системы защиты информации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Требования к аутентификации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обеспечивать двухфакторную аутентификацию в том числе и с применением сертификатов электронной подписи (далее – ЭП). Авторизация должна происходить на уровне BIOS до загрузки основных компонентов операционной системы. Должны поддерживаться следующие способы аутентификации: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пароль;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электронный идентификатор с сертификатом;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сочетание способов электронный идентификатор и пароль;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пароль на электронном идентификаторе;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пароль на LDAP;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ind w:left="107" w:right="135" w:hanging="36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сертификат на LDAP;</w:t>
            </w:r>
          </w:p>
          <w:p>
            <w:pPr>
              <w:pStyle w:val="Normal"/>
              <w:spacing w:lineRule="auto" w:line="276"/>
              <w:ind w:left="107" w:right="135" w:hanging="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</w:r>
          </w:p>
          <w:p>
            <w:pPr>
              <w:pStyle w:val="Normal"/>
              <w:spacing w:lineRule="auto" w:line="276"/>
              <w:ind w:left="107" w:right="135" w:hanging="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поддерживать токены – Rutoken ЭЦП, Rutoken ЭЦП 2.0, Rutoken Lite, JaCarta PKI, Guardant ID, JaCarta-2 ГОСТ</w:t>
            </w:r>
          </w:p>
          <w:p>
            <w:pPr>
              <w:pStyle w:val="Normal"/>
              <w:spacing w:lineRule="auto" w:line="276"/>
              <w:ind w:left="107" w:right="135" w:hanging="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обеспечивать возможность аутентификации пользователей в LDAP, в том числе и по сертификатам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Для выполнения требований по защите информации в соответствии с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Приказом ФСТЭК России от 18 февраля 2013г №21, приказом ФСТЭК России от 11 февраля 2013г №17.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Требования по нейтрализации угроз информационной безопасности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ПМДЗ должен обеспечивать нейтрализацию следующих угроз безопасности информации: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несанкционированный доступ к информации за счет загрузки нештатной операционной системы и, тем самым, обхода правил разграничения доступа штатной операционной системы и (или) других средств защиты информации, работающих в среде штатной операционной системы;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несанкционированную загрузку штатной операционной системы и получение несанкционированного доступа к информационным ресурсам;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нарушение целостности программной среды средств вычислительной техники и (или) состава компонентов аппаратного обеспечения средств вычислительной техники в информационной системе;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нарушение целостности программного обеспечения средства доверенной загрузки;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отключение и (или) обход нарушителями компонентов средств доверенной загрузки;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несанкционированное изменение конфигурации (параметров) средства доверенной загрузки;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преодоление или обход функций безопасности средств доверенной загрузки;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получение остаточной информации средства доверенной загрузки из памяти средства вычислительной техники после завершения работы средства доверенной загрузки;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ind w:left="107" w:right="135" w:hanging="36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получение доступа к ресурсам средства доверенной загрузки из программной среды средства вычислительной техники после завершения работы средства доверенной загрузки.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Для построения системы защиты информации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Требования к централизованному наблюдению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поддерживать функции информационного взаимодействия с программным обеспечением, реализующим функции централизованного лицензирования и сбора журналов, в части: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передачи информации об установленной версии ПМДЗ;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передачи IP-адреса устройства, на котором установлен ПМДЗ;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удалённая регистрация лицензий, с возможностью группового лицензирования;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ind w:left="107" w:right="135" w:hanging="36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выгрузки журналов ПМДЗ, с возможностью групповой выгрузки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Для получения оперативной информации о текущем состоянии функционирующих в системе ПМДЗ</w:t>
            </w:r>
          </w:p>
        </w:tc>
      </w:tr>
      <w:tr>
        <w:trPr>
          <w:trHeight w:val="154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 xml:space="preserve">Требования к сертификации 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ind w:left="107" w:right="135" w:hanging="0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Модуль доверенной загрузки должен иметь действующий сертификат соответствия ФСТЭК России, позволяющий использовать:</w:t>
            </w:r>
          </w:p>
          <w:p>
            <w:pPr>
              <w:pStyle w:val="Normal"/>
              <w:shd w:fill="FFFFFF" w:val="clear"/>
              <w:spacing w:lineRule="auto" w:line="276"/>
              <w:ind w:left="107" w:right="135" w:hanging="0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- в государственных информационных системах до 2 класса защищенности включительно;</w:t>
            </w:r>
          </w:p>
          <w:p>
            <w:pPr>
              <w:pStyle w:val="Normal"/>
              <w:shd w:fill="FFFFFF" w:val="clear"/>
              <w:spacing w:lineRule="auto" w:line="276"/>
              <w:ind w:left="107" w:right="135" w:hanging="0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- в информационных системах персональных данных до 2 уровня защищенности включительно.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Приказ ФСТЭК России от 18 февраля 2013г №21.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 соответствии с п.11 Требований о защите информации, не составляющей государственную тайну, содержащейся в государственных информационных системах утвержденных приказом ФСТЭК России от 11 февраля 2013г №17.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Средство защиты информации от несанкционированного доступа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Функциональные требования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Средство защиты информации от несанкционированного доступа (СЗИ НСД) должно обеспечивать выполнение следующих функций: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регистрацию пользователей. Возможность задать пароль пользователя. Определение количества одновременных сеансов для пользователя. Возможность ограничения количества сессий пользователей на одном компьютере; возможность принудительной блокировки пользователей и автоматической блокировки в случае нарушения политик безопасности;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идентификацию и проверку подлинности пользователей при входе в операционную систему. Возможность двухфакторной аутентификации по паролю и аппаратному идентификатору; возможность сохранения авторизационных данных пользователя на аппаратном идентификаторе;реализацию настроек сложности паролей (длины парольной строчки, контроля наличия цифр и специальных символов) и срока их действия; возможность настройки разграничения прав доступа к объектам файловой системы, съемным накопителям, разграничения прав на доступ к устройствам печати;возможность контроля целостности аппаратной конфигурации компьютера;регистрацию и учет (аудит) действий пользователей (включение ПЭВМ, вход/выход пользователей, доступ к ресурсам, запуск/остановка процессов, вывод на печать информации, администрирование). Должны вестись непрерывные журналы (т. е. новые записи не должны затирать более старые) с возможностью сортировки записей;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периодического архивирования журналов событий;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экспорта журналов безопасности в форматы PDF и ODS;возможность локального и удаленного администрирования (управление учетными записями, политиками безопасности, правами доступа, аудитом, просмотр журналов);возможность администрирования через графическую оболочку СЗИ НСД, функционирующую в операционных системах на базе Linux;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контроля целостности программно-аппаратной среды (в том числе отдельных каталогов) и произвольных объектов файловой системы при загрузке ПЭВМ, по команде администратора или периодически. Возможность восстановления объекта доступа в случае обнаружения нарушения его целостности;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контроль целостности объектов СЗИ;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очистку остаточной информации (освобождаемого дискового пространства, освобождаемых областей оперативной памяти, зачистку определенных файлов и папок по команде пользователя); возможность проверки корректности функционирования СЗИ НСД, самотестирования;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защиту от подмены ядра операционной системы и процедур инициализации;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настройки всех параметров СЗИ НСД из единой консоли администрирования;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синхронизации времени с аппаратной платой средства доверенной загрузки для регистрации событий безопасности;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сетевого режима функционирования c удаленным управлением учетными записями пользователей, получением информации о состоянии работы защищаемых ПЭВМ, удаленным просмотром журналов на ПЭВМ, входящих в домен безопасности;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централизованное управление защищенными рабочими станциями при помощи специального модуля. С помощью этого модуля должна выполняться синхронизация учетных записей в рамках защищаемого контура, синхронизация политик безопасности, удаленное развертывание и удаление клиентских частей СЗИ НСД;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оповещения при некоторых событиях НСД;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наличие собственного механизма дискреционного управления доступом.</w:t>
            </w:r>
          </w:p>
          <w:p>
            <w:pPr>
              <w:pStyle w:val="Normal"/>
              <w:shd w:fill="FFFFFF" w:val="clear"/>
              <w:spacing w:lineRule="auto" w:line="276"/>
              <w:rPr/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СЗИ НСД должен быть включен в Единый реестр российских программ для электронных вычислительных машин и баз данных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в соответствии с постановлением Правительства РФ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. 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построения системы защиты информации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Требования к сертификации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/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СЗИ НСД должно иметь де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йствующий сертификат, соответствия ФСТЭК России, позволяющий использовать: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- в государственных информационных системах до 2 класса защищенности включительно;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- в информационных системах персональных данных до 2 уровня защищенности включительно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Приказ ФСТЭК России от 18 февраля 2013г №21.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 соответствии с п.11 Требований о защите информации, не составляющей государственную тайну, содержащейся в государственных информационных системах утвержденных приказом ФСТЭК России от 11 февраля 2013г №17.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Операционная система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«Astra Linux Common Edition» *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1407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Функциональные требования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Операционная система для рабочих станций должна отвечать следующим требованиям и обеспечивать: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задания хешей паролей пользователей в соответствии с ГОСТ Р 34.11-2012;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color w:val="000009"/>
                <w:spacing w:val="-2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9"/>
                <w:spacing w:val="-2"/>
                <w:sz w:val="18"/>
                <w:szCs w:val="18"/>
                <w:lang w:val="ru-RU" w:eastAsia="ru-RU"/>
              </w:rPr>
              <w:t>возможность создания ssh-тунелей с кодированием передаваемой информации в соответствии с ГОСТ Р 34.12–2015</w:t>
            </w:r>
          </w:p>
          <w:p>
            <w:pPr>
              <w:pStyle w:val="Normal"/>
              <w:shd w:fill="FFFFFF" w:val="clear"/>
              <w:spacing w:lineRule="auto" w:line="276"/>
              <w:rPr/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возможность создания защищенных VPN-тунелей, использующих контроль целостности заголовков IP-пакетов в соответствии с </w:t>
            </w:r>
            <w:r>
              <w:rPr>
                <w:rFonts w:eastAsia="Liberation Serif;Times New Roman"/>
                <w:b/>
                <w:sz w:val="18"/>
                <w:szCs w:val="18"/>
                <w:lang w:val="ru-RU" w:eastAsia="ru-RU"/>
              </w:rPr>
              <w:t>ГОСТ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 Р 34.12–</w:t>
            </w:r>
            <w:r>
              <w:rPr>
                <w:rFonts w:eastAsia="Liberation Serif;Times New Roman"/>
                <w:b/>
                <w:sz w:val="18"/>
                <w:szCs w:val="18"/>
                <w:lang w:val="ru-RU" w:eastAsia="ru-RU"/>
              </w:rPr>
              <w:t>2015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color w:val="000009"/>
                <w:spacing w:val="-2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9"/>
                <w:spacing w:val="-2"/>
                <w:sz w:val="18"/>
                <w:szCs w:val="18"/>
                <w:lang w:val="ru-RU" w:eastAsia="ru-RU"/>
              </w:rPr>
              <w:t>позволять выполнять защитное преобразование файлов и каталогов по ГОСТ Р 34.12–2015 встроенное в файловый менеджер;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 ограничения полномочий пользователей по использованию консолей;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ограничения работы с интерпретируемыми языками для непривилегированных пользователей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блокировки макросов в приложениях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иметь в составе ядро не ниже 4.15 и актуальный набор драйверов для совместимости с имеющимся периферийным оборудованием и обеспечения корректного функционирования современных средств вычислительной техники.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графическое средство настройки выделяемых ресурсов памяти пользователям (квоты)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графическое средство ввода рабочей станции в домены Active Directory и FreeIPA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графические средства настройки подключения к сетевой файловой системе Samba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графическое средство настройки сохранения и восстановления сессии пользователя (восстановление при старте запущенных программ и их расположения после полного отключения электропитания АРМ).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графическое средство настроек потребления электроэнергии (яркость экрана, потухание или выключение монитора, переход в ждущий режим, сон или гибернацию) в случае изменения настроек электропитания (питание от сети, питание от батареи, низкий заряд батареи) с возможностью мгновенного тестирования настроек.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графические средства запуска работы с удаленными, отдельными или вложенными графическими сессиями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графические средства настройки планирования времени завершения работы без участия пользователя (завершение сессии, выключение АРМ, перехода в энергосберегающие режимы) с настройкой уведомления о событии.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автоматического брендирования рабочего стола с графическими инструментами настройки расположения логотипа.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ввода логина и пароля пользователя как при входе в систему, так и при разблокировке экрана после бездействия, как с физической, так и с виртуальной клавиатуры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графический инструмент регулировки яркости экрана ноутбука или мобильных устройств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графические средства запуска приложений с изменением приоритета выполнения, либо от имени другого пользователя без доступа к консоли.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графический инструмент настройки параметров загрузчика операционной системы(загружаемая операционная система по умолчанию, передаваемые параметры ядра, таймаут для ожидания действий пользователя, выбора источника ввода данных при загрузке, выбор терминала для вывода информации).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поставляться с интернет-браузером, с поддержкой ГОСТ TLS (при наличии установленного в ОС комплекта программ КриптоПро CSP)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Графический менеджер файлов должен обеспечивать: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расчета контрольных сумм файлов и их сравнения по алгоритмам ГОСТ Р 34.11-2012, MD5, SHA1, SHA256 без доступа к консоли.</w:t>
            </w:r>
          </w:p>
          <w:p>
            <w:pPr>
              <w:pStyle w:val="Normal"/>
              <w:shd w:fill="FFFFFF" w:val="clear"/>
              <w:spacing w:lineRule="auto" w:line="276"/>
              <w:rPr/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поиск файлов как по шаблону,  так и по содержимому  в документах формата ODF, а также по времени </w:t>
            </w:r>
            <w:r>
              <w:rPr>
                <w:sz w:val="18"/>
                <w:szCs w:val="18"/>
                <w:lang w:val="ru-RU" w:eastAsia="ru-RU"/>
              </w:rPr>
              <w:t xml:space="preserve">создания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или изменения, а также размеру файла без доступа к консоли..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создания из контекстного меню архивации файлов или каталогов с возможностью создания многотомного архива, архива с паролем и выбора степени сжатия данных без доступа к консоли.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Файловый менеджер должен обеспечивать: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возможность работать с архивами (zip, rar, 7zip, tar, tgz, tar.gz, tar.bz, tar.xz, iso), как с папками (с возможностью как замены файлов так и работы в режиме только чтение)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без доступа к консоли.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поддержку работы с файловыми системами ext2/3/4, fat,ntfs, iso9660. </w:t>
            </w:r>
          </w:p>
          <w:p>
            <w:pPr>
              <w:pStyle w:val="Normal"/>
              <w:shd w:fill="FFFFFF" w:val="clear"/>
              <w:spacing w:lineRule="auto" w:line="276"/>
              <w:rPr/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Операционная система должна быть включена в Единый реестр российских программ для электронных вычислительных машин и баз данных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в соответствии с постановлением Правительства РФ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. 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Для обеспечения работоспособности 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Требования к составу программного обеспечения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совместимости с существующей инфраструктурой Заказчика и медицинских организаций, а также функционирования медицинской информационной системы, должно быть установлено следующее программное обеспечение: Крипто Про CSP версии 5 (Лицензии приобретаются Заказчиком отдельно); VipNet Client версии 4.х (Лицензии приобретаются Заказчиком отдельно); Агент Zabbix (свободно распространяемое программное обеспечение). Поставщик должен предоставить образ для восстановления.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совместимости с существующей инфраструктурой и имеющимися у Заказчика лицензиями.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Корпоративный браузер «Спутник». *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718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Функциональные требования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/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Браузер должен отвечать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следующим требованиям:</w:t>
            </w:r>
            <w:r>
              <w:rPr>
                <w:rFonts w:eastAsia="Liberation Serif;Times New Roman"/>
                <w:bCs/>
                <w:color w:val="000000"/>
                <w:sz w:val="18"/>
                <w:szCs w:val="18"/>
                <w:lang w:val="ru-RU" w:eastAsia="ru-RU"/>
              </w:rPr>
              <w:tab/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lineRule="auto" w:line="276" w:before="0" w:after="200"/>
              <w:ind w:left="338" w:hanging="283"/>
              <w:contextualSpacing/>
              <w:rPr/>
            </w:pPr>
            <w:r>
              <w:rPr>
                <w:color w:val="000000"/>
                <w:sz w:val="18"/>
                <w:szCs w:val="18"/>
                <w:lang w:val="ru-RU" w:eastAsia="ru-RU"/>
              </w:rPr>
              <w:t xml:space="preserve">Поддержка отображения: </w:t>
            </w:r>
            <w:r>
              <w:rPr>
                <w:bCs/>
                <w:color w:val="000000"/>
                <w:sz w:val="18"/>
                <w:szCs w:val="18"/>
                <w:lang w:val="ru-RU" w:eastAsia="ru-RU"/>
              </w:rPr>
              <w:t>веб-документов, созданных в соответствии со спецификацией XML; популярных открытых аудио и видео-форматов (Ogv, Ogg, WebM); популярных графических форматов (PNG, JPEG, GIF); документов других форматов (например, PDF) при использовании специально подключаемых модулей (расширений для интернет-обозревателя).</w:t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lineRule="auto" w:line="276" w:before="0" w:after="200"/>
              <w:ind w:left="338" w:hanging="283"/>
              <w:contextualSpacing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Cs/>
                <w:color w:val="000000"/>
                <w:sz w:val="18"/>
                <w:szCs w:val="18"/>
                <w:lang w:val="ru-RU" w:eastAsia="ru-RU"/>
              </w:rPr>
              <w:t>Использование «умной» адресной строки (ввод URL-адреса приводит к открытию соответствующего веб-сайта, ввод поискового запроса приводит к открытию страницы с результатами поиска в текущей выбранной поисковой системе).</w:t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lineRule="auto" w:line="276" w:before="0" w:after="200"/>
              <w:ind w:left="338" w:hanging="283"/>
              <w:contextualSpacing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Cs/>
                <w:color w:val="000000"/>
                <w:sz w:val="18"/>
                <w:szCs w:val="18"/>
                <w:lang w:val="ru-RU" w:eastAsia="ru-RU"/>
              </w:rPr>
              <w:t>Восстановление последних закрытых вкладок.</w:t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lineRule="auto" w:line="276" w:before="0" w:after="200"/>
              <w:ind w:left="338" w:hanging="283"/>
              <w:contextualSpacing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Блокирование установки плагинов.</w:t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lineRule="auto" w:line="276" w:before="0" w:after="200"/>
              <w:ind w:left="338" w:hanging="283"/>
              <w:contextualSpacing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Оффлайн инсталляция.</w:t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lineRule="auto" w:line="276" w:before="0" w:after="200"/>
              <w:ind w:left="338" w:hanging="283"/>
              <w:contextualSpacing/>
              <w:jc w:val="both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Прямой доступ к web-ресурсам (виджеты на главной).</w:t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lineRule="auto" w:line="276" w:before="0" w:after="200"/>
              <w:ind w:left="338" w:hanging="283"/>
              <w:contextualSpacing/>
              <w:jc w:val="both"/>
              <w:rPr>
                <w:color w:val="000000"/>
                <w:sz w:val="18"/>
                <w:szCs w:val="18"/>
                <w:lang w:val="ru-RU" w:eastAsia="ru-RU"/>
              </w:rPr>
            </w:pPr>
            <w:r>
              <w:rPr>
                <w:color w:val="000000"/>
                <w:sz w:val="18"/>
                <w:szCs w:val="18"/>
                <w:lang w:val="ru-RU" w:eastAsia="ru-RU"/>
              </w:rPr>
              <w:t>Поддержка отечественной криптографии.</w:t>
            </w:r>
          </w:p>
          <w:p>
            <w:pPr>
              <w:pStyle w:val="Normal"/>
              <w:numPr>
                <w:ilvl w:val="0"/>
                <w:numId w:val="3"/>
              </w:numPr>
              <w:shd w:fill="FFFFFF" w:val="clear"/>
              <w:spacing w:lineRule="auto" w:line="276" w:before="0" w:after="200"/>
              <w:ind w:left="338" w:hanging="283"/>
              <w:contextualSpacing/>
              <w:jc w:val="both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Cs/>
                <w:color w:val="000000"/>
                <w:sz w:val="18"/>
                <w:szCs w:val="18"/>
                <w:lang w:val="ru-RU" w:eastAsia="ru-RU"/>
              </w:rPr>
              <w:t>Поддержка установки защищенного соединения с информационным системам и ресурсам по протоколу TLS 1.0 и TLS 1.2 с использованием российских криптографических алгоритмов (хеш-функция - ГОСТ Р 34.11-2012, шифрование – ГОСТ 28147-89, ЭП – ГОСТ Р 34.10-2012).</w:t>
            </w:r>
          </w:p>
          <w:p>
            <w:pPr>
              <w:pStyle w:val="Normal"/>
              <w:shd w:fill="FFFFFF" w:val="clear"/>
              <w:spacing w:lineRule="auto" w:line="276"/>
              <w:rPr/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Защищенный браузер должен быть включен в Единый реестр российских программ для электронных вычислительных машин и баз данных,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в соответствии с постановлением Правительства РФ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работоспособности и совместимости с медицинской информационной системой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Системный блок, 415 штук</w:t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Материал 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Сталь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повышения надежности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Толщина стенок корпуса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мм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0,6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надежной шумоизоляции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Мощность блока питания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 ≤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работоспособности всех компонентов системного блока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Крепление VESA 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удобства размещения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Габариты (ШхВхГ)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мм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≤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97x240x250 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удобства размещения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Физическая энергонезависимая блокировка доступа к внутренним компонентам системного блока с ключевым доступом без использования навесных снимаемых замков.</w:t>
              <w:br/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повышения надежности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Блокировка самопроизвольной отстыковки кабеля  электропитания 220 В.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повышения надежности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Электромеханическое устройство, обеспечивающее защиту от несанкционированного включения ПК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Выключатель с ключом на лицевой панели (не должно занимать отсеков 5,25 и 3,5 дюйма)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повышения надежности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Тактовая частота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Мгц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3600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высокой производительности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Объем кэша L3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Кб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&gt;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 6000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высокой производительности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ядер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высокой производительности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потоков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высокой производительности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Встроенная графическая система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обработки графической информации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Система охлаждения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защиты от перегрева процессора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Оперативная память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модулей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работоспособности системного блока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Объем оперативной памяти 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Гб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нужд заказчика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Частота оперативной памяти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Мгц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2400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Частота, обеспечивающая наименьшее энергопотребление и тепловыделение из производимых на данный момент типов памяти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DDR4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поддержания высокой производительности работы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Накопитель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Тип накопителя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SSD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нужд заказчика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Объем SSD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Гб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нужд заказчика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Системная плата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слотов памяти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установки оперативной памяти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слотов расширения PCI-E x16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установки плат расширения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Сеть 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Мбит/с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1000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подключения к локальной сети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портов USB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подключения устройств ввода/вывода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Интерфейсы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DVI, HDMI, DisplayPort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подключения устройств ввода/вывода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Отсек для установки привода оптических дисков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возможности установки привода оптических дисков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Система контроля несанкционированного перемещения корпуса системного блока,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фиксирующая факт изменения местоположения корпуса при его отклонении от точки установки не более чем на 2 см в трех плоскостях.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 целях предотвращения хищения информации и оборудования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Функции звукового оповещения о факте несанкционированного перемещения корпуса системного блока.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Налиие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 целях предотвращения хищения информации и оборудования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Требования к составу программного обеспечения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Для обеспечения совместимости с существующей инфраструктурой Заказчика и медицинских организаций, а также функционирования медицинской информационной системы, должно быть установлено следующее программное обеспечение: Операционная система «Astra Linux Common Edition» (Лицензия предоставляется Заказчиком); Корпоративный браузер «Спутник». (Лицензия предоставляется Заказчиком); Крипто Про CSP версии 5 (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Лицензии приобретаются Заказчиком отдельно</w:t>
            </w: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);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VipNet Client версии 4.х (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Лицензии приобретаются Заказчиком отдельно</w:t>
            </w: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);</w:t>
            </w:r>
          </w:p>
          <w:p>
            <w:pPr>
              <w:pStyle w:val="Normal"/>
              <w:spacing w:lineRule="auto" w:line="276"/>
              <w:jc w:val="both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Агент Zabbix (свободно распространяемое программное обеспечение).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Поставщик должен предоставить  образ для восстановления.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совместимости с существующей инфраструктурой и имеющимися у Заказчика лицензиями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Программный модуль доверенной загрузки (ПМДЗ)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Функциональные требования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представлять собой программное средство, которое встраивается в базовую систему ввода-вывода (BIOS) и осуществляет блокирование попыток несанкционированной загрузки нештатной операционной системы, предоставляет доступ к информационным ресурсам в случае успешной проверки подлинности загружаемой операционной системы и прав на основе идентификации и аутентификации пользователя.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 должен обеспечивать контроль завершенности транзакций в журналах файловых систем EXT3, EXT4 и контроль программных прерываний системного режима управления (SMI)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иметь возможность задать настройки сессии аутентификации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иметь возможность обеспечения загрузки корневых сертификатов и списка отзыва сертификатов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иметь возможность импорта и экспорта настроек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вести аудит действий пользователя и администратора. Все события должны записывать в журнал. Режимы ведения журнала: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Внутренний, циклический;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Внутренний, экспортируемый;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ind w:left="107" w:right="135" w:hanging="36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Внешний (на диске).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обеспечивать защиту BIOS от перезаписи, чтения и от изменения EFI-переменных.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Активация/деактивация ПМДЗ должна осуществляться программно, без механических операций вскрытия и установки/извлечения компонентов. </w:t>
            </w:r>
          </w:p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Обновление ПМДЗ должно производиться программно, из меню настроек замка.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построения системы защиты информации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Требования к обеспечению контроля целостности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ПМДЗ должен обеспечивать контроль целостности, следующих компонентов: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образа BIOS и программного обеспечения ПМДЗ;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файлов на файловых системах: </w:t>
            </w:r>
            <w:r>
              <w:rPr>
                <w:sz w:val="18"/>
                <w:szCs w:val="18"/>
                <w:lang w:eastAsia="ru-RU"/>
              </w:rPr>
              <w:t>EXT</w:t>
            </w:r>
            <w:r>
              <w:rPr>
                <w:sz w:val="18"/>
                <w:szCs w:val="18"/>
                <w:lang w:val="ru-RU" w:eastAsia="ru-RU"/>
              </w:rPr>
              <w:t xml:space="preserve">2, </w:t>
            </w:r>
            <w:r>
              <w:rPr>
                <w:sz w:val="18"/>
                <w:szCs w:val="18"/>
                <w:lang w:eastAsia="ru-RU"/>
              </w:rPr>
              <w:t>EXT</w:t>
            </w:r>
            <w:r>
              <w:rPr>
                <w:sz w:val="18"/>
                <w:szCs w:val="18"/>
                <w:lang w:val="ru-RU" w:eastAsia="ru-RU"/>
              </w:rPr>
              <w:t xml:space="preserve">3, </w:t>
            </w:r>
            <w:r>
              <w:rPr>
                <w:sz w:val="18"/>
                <w:szCs w:val="18"/>
                <w:lang w:eastAsia="ru-RU"/>
              </w:rPr>
              <w:t>EXT</w:t>
            </w:r>
            <w:r>
              <w:rPr>
                <w:sz w:val="18"/>
                <w:szCs w:val="18"/>
                <w:lang w:val="ru-RU" w:eastAsia="ru-RU"/>
              </w:rPr>
              <w:t xml:space="preserve">4;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MBR на носителях информации;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таблиц ACPI;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таблиц SMBIOS;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карты распределения памяти;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ресурсов конфигурационного пространства PCI/PCIe;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ind w:left="107" w:right="135" w:hanging="36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контроль целостности CMOS (содержимого энергонезависимой памяти).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построения системы защиты информации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Требования к аутентификации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обеспечивать двухфакторную аутентификацию в том числе и с применением сертификатов электронной подписи (далее – ЭП). Авторизация должна происходить на уровне BIOS до загрузки основных компонентов операционной системы. Должны поддерживаться следующие способы аутентификации: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пароль;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электронный идентификатор с сертификатом;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сочетание способов электронный идентификатор и пароль;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пароль на электронном идентификаторе;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пароль на LDAP;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ind w:left="107" w:right="135" w:hanging="36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сертификат на LDAP;</w:t>
            </w:r>
          </w:p>
          <w:p>
            <w:pPr>
              <w:pStyle w:val="Normal"/>
              <w:spacing w:lineRule="auto" w:line="276"/>
              <w:ind w:left="107" w:right="135" w:hanging="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</w:r>
          </w:p>
          <w:p>
            <w:pPr>
              <w:pStyle w:val="Normal"/>
              <w:spacing w:lineRule="auto" w:line="276"/>
              <w:ind w:left="107" w:right="135" w:hanging="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поддерживать токены – Rutoken ЭЦП, Rutoken ЭЦП 2.0, Rutoken Lite, JaCarta PKI, Guardant ID, JaCarta-2 ГОСТ</w:t>
            </w:r>
          </w:p>
          <w:p>
            <w:pPr>
              <w:pStyle w:val="Normal"/>
              <w:spacing w:lineRule="auto" w:line="276"/>
              <w:ind w:left="107" w:right="135" w:hanging="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обеспечивать возможность аутентификации пользователей в LDAP, в том числе и по сертификатам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Для выполнения требований по защите информации в соответствии с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Приказом ФСТЭК России от 18 февраля 2013г №21, приказом ФСТЭК России от 11 февраля 2013г №17.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Требования по нейтрализации угроз информационной безопасности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ПМДЗ должен обеспечивать нейтрализацию следующих угроз безопасности информации: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несанкционированный доступ к информации за счет загрузки нештатной операционной системы и, тем самым, обхода правил разграничения доступа штатной операционной системы и (или) других средств защиты информации, работающих в среде штатной операционной системы;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несанкционированную загрузку штатной операционной системы и получение несанкционированного доступа к информационным ресурсам;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нарушение целостности программной среды средств вычислительной техники и (или) состава компонентов аппаратного обеспечения средств вычислительной техники в информационной системе;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нарушение целостности программного обеспечения средства доверенной загрузки;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отключение и (или) обход нарушителями компонентов средств доверенной загрузки;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несанкционированное изменение конфигурации (параметров) средства доверенной загрузки;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преодоление или обход функций безопасности средств доверенной загрузки;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получение остаточной информации средства доверенной загрузки из памяти средства вычислительной техники после завершения работы средства доверенной загрузки;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ind w:left="107" w:right="135" w:hanging="36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получение доступа к ресурсам средства доверенной загрузки из программной среды средства вычислительной техники после завершения работы средства доверенной загрузки.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Для построения системы защиты информации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Требования к централизованному наблюдению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ind w:left="107" w:right="135" w:hanging="0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ПМДЗ должен поддерживать функции информационного взаимодействия с программным обеспечением, реализующим функции централизованного лицензирования и сбора журналов, в части: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передачи информации об установленной версии ПМДЗ;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передачи IP-адреса устройства, на котором установлен ПМДЗ;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 w:before="0" w:after="0"/>
              <w:ind w:left="107" w:right="135" w:hanging="360"/>
              <w:contextualSpacing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удалённая регистрация лицензий, с возможностью группового лицензирования;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76"/>
              <w:ind w:left="107" w:right="135" w:hanging="360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выгрузки журналов ПМДЗ, с возможностью групповой выгрузки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Для получения оперативной информации о текущем состоянии функционирующих в системе ПМДЗ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 xml:space="preserve">Требования к сертификации 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ind w:left="107" w:right="135" w:hanging="0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Модуль доверенной загрузки должен иметь действующий сертификат соответствия ФСТЭК России, позволяющий использовать:</w:t>
            </w:r>
          </w:p>
          <w:p>
            <w:pPr>
              <w:pStyle w:val="Normal"/>
              <w:shd w:fill="FFFFFF" w:val="clear"/>
              <w:spacing w:lineRule="auto" w:line="276"/>
              <w:ind w:left="107" w:right="135" w:hanging="0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- в государственных информационных системах до 2 класса защищенности включительно;</w:t>
            </w:r>
          </w:p>
          <w:p>
            <w:pPr>
              <w:pStyle w:val="Normal"/>
              <w:shd w:fill="FFFFFF" w:val="clear"/>
              <w:spacing w:lineRule="auto" w:line="276"/>
              <w:ind w:left="107" w:right="135" w:hanging="0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- в информационных системах персональных данных до 2 уровня защищенности включительно.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Приказ ФСТЭК России от 18 февраля 2013г №21.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 соответствии с п.11 Требований о защите информации, не составляющей государственную тайну, содержащейся в государственных информационных системах утвержденных приказом ФСТЭК России от 11 февраля 2013г №17.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Средство защиты информации от несанкционированного доступа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Функциональные требования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Средство защиты информации от несанкционированного доступа (СЗИ НСД) должно обеспечивать выполнение следующих функций: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регистрацию пользователей. Возможность задать пароль пользователя. Определение количества одновременных сеансов для пользователя. Возможность ограничения количества сессий пользователей на одном компьютере;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принудительной блокировки пользователей и автоматической блокировки в случае нарушения политик безопасности;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идентификацию и проверку подлинности пользователей при входе в операционную систему. Возможность двухфакторной аутентификации по паролю и аппаратному идентификатору;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сохранения авторизационных данных пользователя на аппаратном идентификаторе;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реализацию настроек сложности паролей (длины парольной строчки, контроля наличия цифр и специальных символов) и срока их действия; 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возможность настройки разграничения прав доступа к объектам файловой системы, съемным накопителям, разграничения прав на доступ к устройствам печати; 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контроля целостности аппаратной конфигурации компьютера;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регистрацию и учет (аудит) действий пользователей (включение ПЭВМ, вход/выход пользователей, доступ к ресурсам, запуск/остановка процессов, вывод на печать информации, администрирование). Должны вестись непрерывные журналы (т. е. новые записи не должны затирать более старые) с возможностью сортировки записей;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периодического архивирования журналов событий;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экспорта журналов безопасности в форматы PDF и ODS;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локального и удаленного администрирования (управление учетными записями, политиками безопасности, правами доступа, аудитом, просмотр журналов);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администрирования через графическую оболочку СЗИ НСД, функционирующую в операционных системах на базе Linux;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контроля целостности программно-аппаратной среды (в том числе отдельных каталогов) и произвольных объектов файловой системы при загрузке ПЭВМ, по команде администратора или периодически. Возможность восстановления объекта доступа в случае обнаружения нарушения его целостности;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контроль целостности объектов СЗИ;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очистку остаточной информации (освобождаемого дискового пространства, освобождаемых областей оперативной памяти, зачистку определенных файлов и папок по команде пользователя); 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проверки корректности функционирования СЗИ НСД, самотестирования;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защиту от подмены ядра операционной системы и процедур инициализации;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настройки всех параметров СЗИ НСД из единой консоли администрирования;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синхронизации времени с аппаратной платой средства доверенной загрузки для регистрации событий безопасности;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сетевого режима функционирования c удаленным управлением учетными записями пользователей, получением информации о состоянии работы защищаемых ПЭВМ, удаленным просмотром журналов на ПЭВМ, входящих в домен безопасности;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централизованное управление защищенными рабочими станциями при помощи специального модуля. С помощью этого модуля должна выполняться синхронизация учетных записей в рамках защищаемого контура, синхронизация политик безопасности, удаленное развертывание и удаление клиентских частей СЗИ НСД;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возможность оповещения при некоторых событиях НСД;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наличие собственного механизма дискреционного управления доступом.</w:t>
            </w:r>
          </w:p>
          <w:p>
            <w:pPr>
              <w:pStyle w:val="Normal"/>
              <w:shd w:fill="FFFFFF" w:val="clear"/>
              <w:spacing w:lineRule="auto" w:line="276"/>
              <w:rPr/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СЗИ НСД должен быть включен в Единый реестр российских программ для электронных вычислительных машин и баз данных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в соответствии с постановлением Правительства РФ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. 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построения системы защиты информации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Требования к сертификации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/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СЗИ НСД должно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 иметь действующий сертификат соответствия ФСТЭК России, позволяющий использовать: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-  в государственных информационных системах до 2 класса защищенности включительно;</w:t>
            </w:r>
          </w:p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- в информационных системах персональных данных до 2 уровня защищенности включительно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Приказ ФСТЭК России от 18 февраля 2013г №21.</w:t>
            </w:r>
          </w:p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В соответствии с п.11 Требований о защите информации, не составляющей государственную тайну, содержащейся в государственных информационных системах утвержденных приказом ФСТЭК России от 11 февраля 2013г №17.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Клавиатура, 694 шт</w:t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Тип подключения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Проводная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Интерфейс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USB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Универсальный интерфейс подключения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клавиш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104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увеличения скорости работы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 xml:space="preserve">Мышь компьютерная,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694 шт</w:t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Тип подключения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Проводная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  <w:vAlign w:val="bottom"/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Интерфейс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  <w:t>USB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Универсальный интерфейс подключения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/>
            </w:pPr>
            <w:r>
              <w:rPr>
                <w:rFonts w:eastAsia="Calibri"/>
                <w:color w:val="00000A"/>
                <w:sz w:val="18"/>
                <w:szCs w:val="18"/>
                <w:lang w:val="ru-RU" w:eastAsia="zh-CN" w:bidi="hi-IN"/>
              </w:rPr>
              <w:t xml:space="preserve">Монитор, подключаемый к компьютеру, </w:t>
            </w:r>
            <w:r>
              <w:rPr>
                <w:rFonts w:eastAsia="Liberation Serif;Times New Roman"/>
                <w:color w:val="00000A"/>
                <w:sz w:val="18"/>
                <w:szCs w:val="18"/>
                <w:lang w:val="ru-RU" w:eastAsia="zh-CN" w:bidi="hi-IN"/>
              </w:rPr>
              <w:t>694 шт</w:t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Размер диагонали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Дюйм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color w:val="000000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Больше или равно 23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Тип матрицы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 xml:space="preserve">IPS 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Крепление VESA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обеспечения совместного использования с системным блоком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Источник бесперебойного питания, 694 шт</w:t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 xml:space="preserve">Полная мощность 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ВА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≥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Форм-фактор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Отдельно стоящий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Соответствует КТРУ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Наличие дополнительных функций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Встроенный автоматический стабилизатор напряжения (AVR)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Соответствует КТРУ</w:t>
            </w:r>
          </w:p>
        </w:tc>
      </w:tr>
      <w:tr>
        <w:trPr>
          <w:trHeight w:val="235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shd w:fill="FFFFFF" w:val="clear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shd w:fill="FFFFFF" w:val="clear"/>
                <w:lang w:val="ru-RU" w:eastAsia="ru-RU"/>
              </w:rPr>
              <w:t>Время переключения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мс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Не более 4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Для обеспечения бесперебойного функционирования информационных систем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shd w:fill="FFFFFF" w:val="clear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shd w:fill="FFFFFF" w:val="clear"/>
                <w:lang w:val="ru-RU" w:eastAsia="ru-RU"/>
              </w:rPr>
              <w:t>Защита от перегрузок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От обеспечения отказоустойчивости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Защита от короткого замыкания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От обеспечения отказоустойчивости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Емкость батареи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АЧ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Не менее 7,2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Для обеспечения необходимого времени автономной работы на максимальной нагрузке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Время перезарядки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час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Не более 4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Для обеспечения быстрого восстановления заряда батареи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jc w:val="both"/>
              <w:rPr/>
            </w:pPr>
            <w:r>
              <w:rPr>
                <w:rFonts w:eastAsia="Calibri"/>
                <w:color w:val="00000A"/>
                <w:sz w:val="18"/>
                <w:szCs w:val="18"/>
                <w:lang w:val="ru-RU" w:eastAsia="zh-CN" w:bidi="hi-IN"/>
              </w:rPr>
              <w:t xml:space="preserve">Фильтр сетевой, </w:t>
            </w:r>
            <w:r>
              <w:rPr>
                <w:rFonts w:eastAsia="Liberation Serif;Times New Roman"/>
                <w:color w:val="00000A"/>
                <w:sz w:val="18"/>
                <w:szCs w:val="18"/>
                <w:lang w:val="ru-RU" w:eastAsia="zh-CN" w:bidi="hi-IN"/>
              </w:rPr>
              <w:t>694 шт</w:t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Количество розеток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Шт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Не менее 6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Для подключения оборудования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Длина шнура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jc w:val="both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Не менее 1.8</w:t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pacing w:lineRule="auto" w:line="276"/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bCs/>
                <w:sz w:val="18"/>
                <w:szCs w:val="18"/>
                <w:lang w:val="ru-RU" w:eastAsia="ru-RU"/>
              </w:rPr>
              <w:t>Для подключения к сети питания</w:t>
            </w:r>
          </w:p>
        </w:tc>
      </w:tr>
      <w:tr>
        <w:trPr>
          <w:trHeight w:val="23" w:hRule="atLeast"/>
        </w:trPr>
        <w:tc>
          <w:tcPr>
            <w:tcW w:w="3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ascii="Calibri" w:hAnsi="Calibri" w:eastAsia="Liberation Serif;Times New Roman" w:cs="Calibri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 w:cs="Calibri" w:ascii="Calibri" w:hAnsi="Calibri"/>
                <w:bCs/>
                <w:sz w:val="18"/>
                <w:szCs w:val="18"/>
                <w:lang w:val="ru-RU" w:eastAsia="ru-RU"/>
              </w:rPr>
            </w:r>
          </w:p>
        </w:tc>
        <w:tc>
          <w:tcPr>
            <w:tcW w:w="1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Общий выключатель розеток</w:t>
            </w:r>
          </w:p>
        </w:tc>
        <w:tc>
          <w:tcPr>
            <w:tcW w:w="7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40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Наличие</w:t>
            </w:r>
          </w:p>
        </w:tc>
        <w:tc>
          <w:tcPr>
            <w:tcW w:w="14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16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napToGrid w:val="false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</w:r>
          </w:p>
        </w:tc>
        <w:tc>
          <w:tcPr>
            <w:tcW w:w="2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tcMar>
              <w:left w:w="38" w:type="dxa"/>
            </w:tcMar>
          </w:tcPr>
          <w:p>
            <w:pPr>
              <w:pStyle w:val="Normal"/>
              <w:shd w:fill="FFFFFF" w:val="clear"/>
              <w:spacing w:lineRule="auto" w:line="276"/>
              <w:rPr>
                <w:rFonts w:eastAsia="Liberation Serif;Times New Roman"/>
                <w:sz w:val="18"/>
                <w:szCs w:val="18"/>
                <w:lang w:val="ru-RU" w:eastAsia="ru-RU"/>
              </w:rPr>
            </w:pPr>
            <w:r>
              <w:rPr>
                <w:rFonts w:eastAsia="Liberation Serif;Times New Roman"/>
                <w:sz w:val="18"/>
                <w:szCs w:val="18"/>
                <w:lang w:val="ru-RU" w:eastAsia="ru-RU"/>
              </w:rPr>
              <w:t>Для отключения сети питания</w:t>
            </w:r>
          </w:p>
        </w:tc>
      </w:tr>
    </w:tbl>
    <w:p>
      <w:pPr>
        <w:pStyle w:val="Normal"/>
        <w:shd w:fill="FFFFFF" w:val="clear"/>
        <w:ind w:firstLine="720"/>
        <w:jc w:val="both"/>
        <w:rPr>
          <w:rFonts w:eastAsia="Liberation Serif;Times New Roman"/>
          <w:color w:val="000000"/>
          <w:sz w:val="18"/>
          <w:szCs w:val="18"/>
          <w:lang w:val="ru-RU" w:eastAsia="ru-RU"/>
        </w:rPr>
      </w:pPr>
      <w:r>
        <w:rPr>
          <w:rFonts w:eastAsia="Liberation Serif;Times New Roman"/>
          <w:color w:val="000000"/>
          <w:sz w:val="18"/>
          <w:szCs w:val="18"/>
          <w:lang w:val="ru-RU" w:eastAsia="ru-RU"/>
        </w:rPr>
      </w:r>
    </w:p>
    <w:p>
      <w:pPr>
        <w:pStyle w:val="Normal"/>
        <w:shd w:fill="FFFFFF" w:val="clear"/>
        <w:jc w:val="both"/>
        <w:rPr/>
      </w:pPr>
      <w:r>
        <w:rPr>
          <w:rFonts w:eastAsia="Liberation Serif;Times New Roman"/>
          <w:color w:val="000000"/>
          <w:sz w:val="18"/>
          <w:szCs w:val="18"/>
          <w:lang w:val="ru-RU" w:eastAsia="ru-RU"/>
        </w:rPr>
        <w:t>* В связи с необходимостью обеспечения взаимодействия закупаемого оборудования и программного обеспечения с программным обеспечением, используемым Заказчиком, слово «эквивалент» не включено в описание объекта закупки в соответствии с пунктом 1 части 1 статьи 33 Федеральным законом от 05.04.2013 № 44-ФЗ. У заказчика имеются лицензии на использование Корпоративного браузера «Спутник», лицензии на использование о</w:t>
      </w:r>
      <w:r>
        <w:rPr>
          <w:rFonts w:eastAsia="Liberation Serif;Times New Roman"/>
          <w:bCs/>
          <w:sz w:val="18"/>
          <w:szCs w:val="18"/>
          <w:lang w:val="ru-RU" w:eastAsia="ru-RU"/>
        </w:rPr>
        <w:t>перационной системы</w:t>
      </w:r>
      <w:r>
        <w:rPr>
          <w:rFonts w:eastAsia="Liberation Serif;Times New Roman"/>
          <w:sz w:val="18"/>
          <w:szCs w:val="18"/>
          <w:lang w:val="ru-RU" w:eastAsia="ru-RU"/>
        </w:rPr>
        <w:t xml:space="preserve"> </w:t>
      </w:r>
      <w:r>
        <w:rPr>
          <w:rFonts w:eastAsia="Liberation Serif;Times New Roman"/>
          <w:color w:val="000000"/>
          <w:sz w:val="18"/>
          <w:szCs w:val="18"/>
          <w:lang w:val="ru-RU" w:eastAsia="ru-RU"/>
        </w:rPr>
        <w:t>«Astra Linux Common Edition». В случае поставки лицензии на использование Корпоративного браузера «Спутник», лицензии на использование о</w:t>
      </w:r>
      <w:r>
        <w:rPr>
          <w:rFonts w:eastAsia="Liberation Serif;Times New Roman"/>
          <w:bCs/>
          <w:sz w:val="18"/>
          <w:szCs w:val="18"/>
          <w:lang w:val="ru-RU" w:eastAsia="ru-RU"/>
        </w:rPr>
        <w:t>перационной системы</w:t>
      </w:r>
      <w:r>
        <w:rPr>
          <w:rFonts w:eastAsia="Liberation Serif;Times New Roman"/>
          <w:sz w:val="18"/>
          <w:szCs w:val="18"/>
          <w:lang w:val="ru-RU" w:eastAsia="ru-RU"/>
        </w:rPr>
        <w:t xml:space="preserve"> </w:t>
      </w:r>
      <w:r>
        <w:rPr>
          <w:rFonts w:eastAsia="Liberation Serif;Times New Roman"/>
          <w:color w:val="000000"/>
          <w:sz w:val="18"/>
          <w:szCs w:val="18"/>
          <w:lang w:val="ru-RU" w:eastAsia="ru-RU"/>
        </w:rPr>
        <w:t xml:space="preserve">«Astra Linux Common Edition», Заказчик расширяет количество имеющихся лицензий с целью снижения затрат на покупку и администрирование. </w:t>
      </w:r>
    </w:p>
    <w:p>
      <w:pPr>
        <w:pStyle w:val="Normal"/>
        <w:shd w:fill="FFFFFF" w:val="clear"/>
        <w:tabs>
          <w:tab w:val="left" w:pos="193" w:leader="none"/>
        </w:tabs>
        <w:jc w:val="both"/>
        <w:rPr>
          <w:rFonts w:eastAsia="Liberation Serif;Times New Roman"/>
          <w:b/>
          <w:b/>
          <w:sz w:val="18"/>
          <w:szCs w:val="18"/>
          <w:lang w:val="ru-RU" w:eastAsia="ru-RU"/>
        </w:rPr>
      </w:pPr>
      <w:r>
        <w:rPr>
          <w:rFonts w:eastAsia="Liberation Serif;Times New Roman"/>
          <w:b/>
          <w:sz w:val="18"/>
          <w:szCs w:val="18"/>
          <w:lang w:val="ru-RU" w:eastAsia="ru-RU"/>
        </w:rPr>
        <w:t>Требования к качеству:</w:t>
      </w:r>
    </w:p>
    <w:p>
      <w:pPr>
        <w:sectPr>
          <w:type w:val="nextPage"/>
          <w:pgSz w:orient="landscape" w:w="16838" w:h="11906"/>
          <w:pgMar w:left="1134" w:right="851" w:header="0" w:top="567" w:footer="0" w:bottom="42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jc w:val="both"/>
        <w:rPr>
          <w:rFonts w:eastAsia="Liberation Serif;Times New Roman"/>
          <w:color w:val="000000"/>
          <w:sz w:val="18"/>
          <w:szCs w:val="18"/>
          <w:lang w:val="ru-RU" w:eastAsia="ru-RU"/>
        </w:rPr>
      </w:pPr>
      <w:r>
        <w:rPr>
          <w:rFonts w:eastAsia="Liberation Serif;Times New Roman"/>
          <w:color w:val="000000"/>
          <w:sz w:val="18"/>
          <w:szCs w:val="18"/>
          <w:lang w:val="ru-RU" w:eastAsia="ru-RU"/>
        </w:rPr>
        <w:t>Поставляемые системные блоки должны иметь сертификаты соответствия требованиям системы сертификации ЕАС, экспертное заключение, гарантирующие безопасность для здоровья, а также товарный знак, зарегистрированный в Государственном реестре товарных знаков и знаков обслуживания РФ и подтвержденный соответствующим свидетельством. Оборудование должно иметь электронный паспорт изделия: заказчик должен иметь возможность узнать на сайте (указать сайт) дату выпуска изделия, его состав и условия гарантийного обслуживания, указав серийный номер системного блока.</w:t>
      </w:r>
    </w:p>
    <w:p>
      <w:pPr>
        <w:pStyle w:val="Normal"/>
        <w:shd w:fill="FFFFFF" w:val="clear"/>
        <w:jc w:val="both"/>
        <w:rPr>
          <w:rFonts w:eastAsia="Liberation Serif;Times New Roman"/>
          <w:b/>
          <w:b/>
          <w:sz w:val="18"/>
          <w:szCs w:val="18"/>
          <w:lang w:val="ru-RU" w:eastAsia="ru-RU"/>
        </w:rPr>
      </w:pPr>
      <w:r>
        <w:rPr>
          <w:rFonts w:eastAsia="Liberation Serif;Times New Roman"/>
          <w:b/>
          <w:sz w:val="18"/>
          <w:szCs w:val="18"/>
          <w:lang w:val="ru-RU" w:eastAsia="ru-RU"/>
        </w:rPr>
        <w:t xml:space="preserve">Обоснование включения дополнительной информации, не предусмотренной КТРУ, в сведения о товаре: </w:t>
      </w:r>
    </w:p>
    <w:p>
      <w:pPr>
        <w:pStyle w:val="Normal"/>
        <w:shd w:fill="FFFFFF" w:val="clear"/>
        <w:jc w:val="both"/>
        <w:rPr>
          <w:rFonts w:eastAsia="Liberation Serif;Times New Roman"/>
          <w:sz w:val="18"/>
          <w:szCs w:val="18"/>
          <w:lang w:val="ru-RU" w:eastAsia="ru-RU"/>
        </w:rPr>
      </w:pPr>
      <w:r>
        <w:rPr>
          <w:rFonts w:eastAsia="Liberation Serif;Times New Roman"/>
          <w:sz w:val="18"/>
          <w:szCs w:val="18"/>
          <w:lang w:val="ru-RU" w:eastAsia="ru-RU"/>
        </w:rPr>
        <w:t>В связи с тем, что для описания объекта закупки, соответствующей потребностям заказчика, недостаточно показателей, указанных в используемых кодах позиций КТРУ, закупки в соответствии с пунктами 5 и 6 Правил использования каталога товаров, работ, услуг для обеспечения государственных и муниципальных нужд, установлены дополнительные показатели характеристик объекта закупки.</w:t>
      </w:r>
    </w:p>
    <w:p>
      <w:pPr>
        <w:pStyle w:val="Normal"/>
        <w:shd w:fill="FFFFFF" w:val="clear"/>
        <w:jc w:val="both"/>
        <w:rPr>
          <w:rFonts w:eastAsia="Liberation Serif;Times New Roman"/>
          <w:sz w:val="18"/>
          <w:szCs w:val="18"/>
          <w:lang w:val="ru-RU" w:eastAsia="ru-RU"/>
        </w:rPr>
      </w:pPr>
      <w:r>
        <w:rPr>
          <w:rFonts w:eastAsia="Liberation Serif;Times New Roman"/>
          <w:sz w:val="18"/>
          <w:szCs w:val="18"/>
          <w:lang w:val="ru-RU" w:eastAsia="ru-RU"/>
        </w:rPr>
        <w:t>В соответствии с п.2 ст. 33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и Федеральным законом от 29.06.2015 № 162-ФЗ «О стандартизации в Российской Федерации» стандартные показатели при описании объекта закупки на некоторые характеристики товаров не применяются, в связи с отсутствием на них технических регламентов, принятых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связанных с определением соответствия поставляемого товара, потребностям заказчика.</w:t>
      </w:r>
    </w:p>
    <w:p>
      <w:pPr>
        <w:pStyle w:val="Normal"/>
        <w:rPr>
          <w:rFonts w:eastAsia="Liberation Serif;Times New Roman"/>
          <w:sz w:val="18"/>
          <w:szCs w:val="18"/>
          <w:lang w:val="ru-RU" w:eastAsia="ru-RU"/>
        </w:rPr>
      </w:pPr>
      <w:r>
        <w:rPr>
          <w:rFonts w:eastAsia="Liberation Serif;Times New Roman"/>
          <w:sz w:val="18"/>
          <w:szCs w:val="18"/>
          <w:lang w:val="ru-RU" w:eastAsia="ru-RU"/>
        </w:rPr>
      </w:r>
    </w:p>
    <w:p>
      <w:pPr>
        <w:pStyle w:val="Normal"/>
        <w:rPr>
          <w:rFonts w:eastAsia="Liberation Serif;Times New Roman"/>
          <w:sz w:val="18"/>
          <w:szCs w:val="18"/>
          <w:lang w:val="ru-RU" w:eastAsia="ru-RU"/>
        </w:rPr>
      </w:pPr>
      <w:r>
        <w:rPr>
          <w:rFonts w:eastAsia="Liberation Serif;Times New Roman"/>
          <w:sz w:val="18"/>
          <w:szCs w:val="18"/>
          <w:lang w:val="ru-RU" w:eastAsia="ru-RU"/>
        </w:rPr>
      </w:r>
    </w:p>
    <w:p>
      <w:pPr>
        <w:pStyle w:val="Normal"/>
        <w:shd w:fill="FFFFFF" w:val="clear"/>
        <w:spacing w:lineRule="atLeast" w:line="57" w:before="240" w:after="0"/>
        <w:ind w:firstLine="720"/>
        <w:jc w:val="both"/>
        <w:rPr>
          <w:rFonts w:eastAsia="Liberation Serif;Times New Roman"/>
          <w:sz w:val="18"/>
          <w:szCs w:val="18"/>
          <w:lang w:val="ru-RU" w:eastAsia="ru-RU"/>
        </w:rPr>
      </w:pPr>
      <w:r>
        <w:rPr>
          <w:rFonts w:eastAsia="Liberation Serif;Times New Roman"/>
          <w:sz w:val="18"/>
          <w:szCs w:val="18"/>
          <w:lang w:val="ru-RU" w:eastAsia="ru-RU"/>
        </w:rPr>
      </w:r>
    </w:p>
    <w:p>
      <w:pPr>
        <w:pStyle w:val="Normal"/>
        <w:shd w:fill="FFFFFF" w:val="clear"/>
        <w:ind w:firstLine="720"/>
        <w:jc w:val="both"/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</w:r>
    </w:p>
    <w:p>
      <w:pPr>
        <w:pStyle w:val="Normal"/>
        <w:numPr>
          <w:ilvl w:val="0"/>
          <w:numId w:val="0"/>
        </w:numPr>
        <w:shd w:fill="FFFFFF" w:val="clear"/>
        <w:tabs>
          <w:tab w:val="left" w:pos="0" w:leader="none"/>
          <w:tab w:val="left" w:pos="426" w:leader="none"/>
          <w:tab w:val="left" w:pos="567" w:leader="none"/>
          <w:tab w:val="left" w:pos="1133" w:leader="none"/>
          <w:tab w:val="left" w:pos="1699" w:leader="none"/>
          <w:tab w:val="left" w:pos="2266" w:leader="none"/>
          <w:tab w:val="left" w:pos="2832" w:leader="none"/>
          <w:tab w:val="left" w:pos="3399" w:leader="none"/>
          <w:tab w:val="left" w:pos="3965" w:leader="none"/>
          <w:tab w:val="left" w:pos="4531" w:leader="none"/>
          <w:tab w:val="left" w:pos="5098" w:leader="none"/>
          <w:tab w:val="left" w:pos="5664" w:leader="none"/>
          <w:tab w:val="left" w:pos="6231" w:leader="none"/>
          <w:tab w:val="left" w:pos="6797" w:leader="none"/>
          <w:tab w:val="left" w:pos="7363" w:leader="none"/>
          <w:tab w:val="left" w:pos="7930" w:leader="none"/>
          <w:tab w:val="left" w:pos="8496" w:leader="none"/>
          <w:tab w:val="left" w:pos="9063" w:leader="none"/>
        </w:tabs>
        <w:ind w:firstLine="284"/>
        <w:jc w:val="center"/>
        <w:outlineLvl w:val="0"/>
        <w:rPr>
          <w:rFonts w:eastAsia="Calibri"/>
          <w:b/>
          <w:b/>
          <w:sz w:val="18"/>
          <w:szCs w:val="18"/>
          <w:lang w:val="ru-RU" w:eastAsia="ru-RU"/>
        </w:rPr>
      </w:pPr>
      <w:r>
        <w:rPr>
          <w:rFonts w:eastAsia="Calibri"/>
          <w:b/>
          <w:sz w:val="18"/>
          <w:szCs w:val="18"/>
          <w:lang w:val="ru-RU" w:eastAsia="ru-RU"/>
        </w:rPr>
        <w:t>ПОДПИСИ СТОРОН:</w:t>
      </w:r>
    </w:p>
    <w:tbl>
      <w:tblPr>
        <w:tblW w:w="10054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2"/>
        <w:gridCol w:w="4982"/>
      </w:tblGrid>
      <w:tr>
        <w:trPr/>
        <w:tc>
          <w:tcPr>
            <w:tcW w:w="5072" w:type="dxa"/>
            <w:tcBorders/>
            <w:shd w:fill="auto" w:val="clear"/>
          </w:tcPr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b/>
                <w:b/>
                <w:i/>
                <w:i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Calibri"/>
                <w:b/>
                <w:i/>
                <w:sz w:val="18"/>
                <w:szCs w:val="18"/>
                <w:u w:val="single"/>
                <w:lang w:val="ru-RU" w:eastAsia="ru-RU"/>
              </w:rPr>
              <w:t>От Поставщика: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lang w:val="ru-RU" w:eastAsia="ru-RU"/>
              </w:rPr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/>
            </w:pPr>
            <w:r>
              <w:rPr>
                <w:rFonts w:eastAsia="Calibri"/>
                <w:sz w:val="18"/>
                <w:szCs w:val="18"/>
                <w:lang w:val="ru-RU" w:eastAsia="ru-RU"/>
              </w:rPr>
              <w:t>_________________________</w:t>
            </w:r>
            <w:r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  <w:t>(должность)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/>
            </w:pPr>
            <w:r>
              <w:rPr>
                <w:rFonts w:eastAsia="Calibri"/>
                <w:sz w:val="18"/>
                <w:szCs w:val="18"/>
                <w:lang w:val="ru-RU" w:eastAsia="ru-RU"/>
              </w:rPr>
              <w:t>_________________________</w:t>
            </w:r>
            <w:r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  <w:t>(Ф.И.О.)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lang w:val="ru-RU" w:eastAsia="ru-RU"/>
              </w:rPr>
              <w:t>_________________________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  <w:t>(Подпись)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lang w:val="ru-RU" w:eastAsia="ru-RU"/>
              </w:rPr>
              <w:t>М.П.</w:t>
            </w:r>
          </w:p>
        </w:tc>
        <w:tc>
          <w:tcPr>
            <w:tcW w:w="4982" w:type="dxa"/>
            <w:tcBorders/>
            <w:shd w:fill="auto" w:val="clear"/>
          </w:tcPr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b/>
                <w:b/>
                <w:i/>
                <w:i/>
                <w:sz w:val="18"/>
                <w:szCs w:val="18"/>
                <w:u w:val="single"/>
                <w:lang w:val="ru-RU" w:eastAsia="ru-RU"/>
              </w:rPr>
            </w:pPr>
            <w:r>
              <w:rPr>
                <w:rFonts w:eastAsia="Calibri"/>
                <w:b/>
                <w:i/>
                <w:sz w:val="18"/>
                <w:szCs w:val="18"/>
                <w:u w:val="single"/>
                <w:lang w:val="ru-RU" w:eastAsia="ru-RU"/>
              </w:rPr>
              <w:t>От Заказчика: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b/>
                <w:b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b/>
                <w:sz w:val="18"/>
                <w:szCs w:val="18"/>
                <w:lang w:val="ru-RU" w:eastAsia="ru-RU"/>
              </w:rPr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/>
            </w:pPr>
            <w:r>
              <w:rPr>
                <w:rFonts w:eastAsia="Calibri"/>
                <w:sz w:val="18"/>
                <w:szCs w:val="18"/>
                <w:lang w:val="ru-RU" w:eastAsia="ru-RU"/>
              </w:rPr>
              <w:t>_________________________</w:t>
            </w:r>
            <w:r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  <w:t>(должность)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/>
            </w:pPr>
            <w:r>
              <w:rPr>
                <w:rFonts w:eastAsia="Calibri"/>
                <w:sz w:val="18"/>
                <w:szCs w:val="18"/>
                <w:lang w:val="ru-RU" w:eastAsia="ru-RU"/>
              </w:rPr>
              <w:t>_________________________</w:t>
            </w:r>
            <w:r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  <w:t>(Ф.И.О.)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lang w:val="ru-RU" w:eastAsia="ru-RU"/>
              </w:rPr>
              <w:t>_________________________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vertAlign w:val="superscript"/>
                <w:lang w:val="ru-RU" w:eastAsia="ru-RU"/>
              </w:rPr>
              <w:t>(Подпись)</w:t>
            </w:r>
          </w:p>
          <w:p>
            <w:pPr>
              <w:pStyle w:val="Normal"/>
              <w:shd w:fill="FFFFFF" w:val="clear"/>
              <w:tabs>
                <w:tab w:val="left" w:pos="426" w:leader="none"/>
              </w:tabs>
              <w:spacing w:lineRule="auto" w:line="276"/>
              <w:ind w:firstLine="284"/>
              <w:jc w:val="center"/>
              <w:rPr>
                <w:rFonts w:eastAsia="Calibri"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sz w:val="18"/>
                <w:szCs w:val="18"/>
                <w:lang w:val="ru-RU" w:eastAsia="ru-RU"/>
              </w:rPr>
              <w:t>М.П.</w:t>
            </w:r>
          </w:p>
        </w:tc>
      </w:tr>
    </w:tbl>
    <w:p>
      <w:pPr>
        <w:pStyle w:val="Normal"/>
        <w:shd w:fill="FFFFFF" w:val="clear"/>
        <w:tabs>
          <w:tab w:val="left" w:pos="426" w:leader="none"/>
        </w:tabs>
        <w:ind w:firstLine="284"/>
        <w:jc w:val="center"/>
        <w:rPr>
          <w:b/>
          <w:b/>
          <w:sz w:val="18"/>
          <w:szCs w:val="18"/>
          <w:lang w:val="ru-RU" w:eastAsia="ru-RU"/>
        </w:rPr>
      </w:pPr>
      <w:r>
        <w:rPr>
          <w:b/>
          <w:sz w:val="18"/>
          <w:szCs w:val="18"/>
          <w:lang w:val="ru-RU" w:eastAsia="ru-RU"/>
        </w:rPr>
        <w:t>Государственный контракт подписан электронно-цифровыми подписями Сторон</w:t>
      </w:r>
    </w:p>
    <w:p>
      <w:pPr>
        <w:pStyle w:val="Normal"/>
        <w:shd w:fill="FFFFFF" w:val="clear"/>
        <w:jc w:val="both"/>
        <w:rPr>
          <w:sz w:val="18"/>
          <w:szCs w:val="18"/>
          <w:lang w:val="ru-RU" w:eastAsia="ru-RU"/>
        </w:rPr>
      </w:pPr>
      <w:r>
        <w:rPr>
          <w:sz w:val="18"/>
          <w:szCs w:val="18"/>
          <w:lang w:val="ru-RU" w:eastAsia="ru-RU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rFonts w:cs="Times New Roman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  <w:rFonts w:cs="Symbol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b/>
        <w:szCs w:val="18"/>
        <w:rFonts w:cs="Symbol"/>
        <w:color w:val="000000"/>
        <w:lang w:val="ru-RU" w:eastAsia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character" w:styleId="WW8Num2z0">
    <w:name w:val="WW8Num2z0"/>
    <w:qFormat/>
    <w:rPr>
      <w:rFonts w:ascii="Times New Roman" w:hAnsi="Times New Roman" w:eastAsia="Liberation Serif;Times New Roman" w:cs="Times New Roman"/>
      <w:sz w:val="18"/>
      <w:szCs w:val="18"/>
      <w:lang w:val="ru-RU"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5z0">
    <w:name w:val="WW8Num5z0"/>
    <w:qFormat/>
    <w:rPr>
      <w:rFonts w:ascii="Symbol" w:hAnsi="Symbol" w:cs="Symbol"/>
      <w:sz w:val="18"/>
      <w:szCs w:val="18"/>
      <w:lang w:val="ru-RU" w:eastAsia="ru-RU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0">
    <w:name w:val="WW8Num7z0"/>
    <w:qFormat/>
    <w:rPr>
      <w:rFonts w:ascii="Symbol" w:hAnsi="Symbol" w:cs="Symbol"/>
      <w:b/>
      <w:color w:val="000000"/>
      <w:sz w:val="18"/>
      <w:szCs w:val="18"/>
      <w:lang w:val="ru-RU" w:eastAsia="ru-RU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WW8Num2">
    <w:name w:val="WW8Num2"/>
    <w:qFormat/>
  </w:style>
  <w:style w:type="numbering" w:styleId="WW8Num5">
    <w:name w:val="WW8Num5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23</Pages>
  <Words>5115</Words>
  <Characters>37669</Characters>
  <CharactersWithSpaces>42176</CharactersWithSpaces>
  <Paragraphs>630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2020-07-10T15:31:27Z</dcterms:created>
  <dc:creator/>
  <dc:description/>
  <dc:language>ru-RU</dc:language>
  <cp:lastModifiedBy/>
  <dcterms:modified xsi:type="dcterms:W3CDTF">2020-07-10T15:32:28Z</dcterms:modified>
  <cp:revision>1</cp:revision>
  <dc:subject/>
  <dc:title/>
</cp:coreProperties>
</file>